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549CB" w14:textId="33AE9405" w:rsidR="00CB64FF" w:rsidRDefault="00CB64FF" w:rsidP="00A3442C"/>
    <w:p w14:paraId="4B7159C2" w14:textId="568D4E6D" w:rsidR="00A3442C" w:rsidRDefault="00A3442C" w:rsidP="00A3442C"/>
    <w:p w14:paraId="171A79BA" w14:textId="77777777" w:rsidR="000D11AC" w:rsidRDefault="000D11AC" w:rsidP="00CE53F6">
      <w:pPr>
        <w:jc w:val="center"/>
        <w:rPr>
          <w:b/>
          <w:bCs/>
          <w:color w:val="365F91" w:themeColor="accent1" w:themeShade="BF"/>
          <w:sz w:val="28"/>
          <w:szCs w:val="28"/>
        </w:rPr>
      </w:pPr>
    </w:p>
    <w:p w14:paraId="739C92F6" w14:textId="77777777" w:rsidR="000D11AC" w:rsidRDefault="000D11AC" w:rsidP="00CE53F6">
      <w:pPr>
        <w:jc w:val="center"/>
        <w:rPr>
          <w:b/>
          <w:bCs/>
          <w:color w:val="365F91" w:themeColor="accent1" w:themeShade="BF"/>
          <w:sz w:val="28"/>
          <w:szCs w:val="28"/>
        </w:rPr>
      </w:pPr>
    </w:p>
    <w:p w14:paraId="4F3B9BE0" w14:textId="6DBC808D" w:rsidR="000B225E" w:rsidRPr="00CE53F6" w:rsidRDefault="000B225E" w:rsidP="00CE53F6">
      <w:pPr>
        <w:jc w:val="center"/>
        <w:rPr>
          <w:b/>
          <w:bCs/>
          <w:color w:val="365F91" w:themeColor="accent1" w:themeShade="BF"/>
          <w:sz w:val="28"/>
          <w:szCs w:val="28"/>
        </w:rPr>
      </w:pPr>
      <w:r w:rsidRPr="00CE53F6">
        <w:rPr>
          <w:b/>
          <w:bCs/>
          <w:color w:val="365F91" w:themeColor="accent1" w:themeShade="BF"/>
          <w:sz w:val="28"/>
          <w:szCs w:val="28"/>
        </w:rPr>
        <w:t>POPULÁRNY ČLÁNOK</w:t>
      </w:r>
    </w:p>
    <w:p w14:paraId="41B81CF4" w14:textId="5C5472FE" w:rsidR="000B225E" w:rsidRDefault="000B225E" w:rsidP="00CE53F6">
      <w:pPr>
        <w:jc w:val="center"/>
        <w:rPr>
          <w:b/>
          <w:bCs/>
          <w:color w:val="365F91" w:themeColor="accent1" w:themeShade="BF"/>
          <w:sz w:val="28"/>
          <w:szCs w:val="28"/>
        </w:rPr>
      </w:pPr>
    </w:p>
    <w:p w14:paraId="2ECC6C04" w14:textId="5934738A" w:rsidR="00CE53F6" w:rsidRDefault="00CE53F6" w:rsidP="00CE53F6">
      <w:pPr>
        <w:jc w:val="center"/>
        <w:rPr>
          <w:b/>
          <w:bCs/>
          <w:color w:val="FF0000"/>
          <w:sz w:val="28"/>
          <w:szCs w:val="28"/>
        </w:rPr>
      </w:pPr>
      <w:r w:rsidRPr="00CE53F6">
        <w:rPr>
          <w:b/>
          <w:bCs/>
          <w:color w:val="FF0000"/>
          <w:sz w:val="28"/>
          <w:szCs w:val="28"/>
        </w:rPr>
        <w:t>Čo odhalili základné výsledky sčítania domov a bytov o </w:t>
      </w:r>
      <w:r w:rsidR="00C94B35">
        <w:rPr>
          <w:b/>
          <w:bCs/>
          <w:color w:val="FF0000"/>
          <w:sz w:val="28"/>
          <w:szCs w:val="28"/>
        </w:rPr>
        <w:t>Trnavskom</w:t>
      </w:r>
      <w:r w:rsidRPr="00CE53F6">
        <w:rPr>
          <w:b/>
          <w:bCs/>
          <w:color w:val="FF0000"/>
          <w:sz w:val="28"/>
          <w:szCs w:val="28"/>
        </w:rPr>
        <w:t xml:space="preserve"> kraji </w:t>
      </w:r>
    </w:p>
    <w:p w14:paraId="71BF67BF" w14:textId="1FEE81ED" w:rsidR="00CE53F6" w:rsidRDefault="00CE53F6" w:rsidP="00CE53F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Sčítanie domov a bytov, ktoré odštartovalo </w:t>
      </w:r>
      <w:r w:rsidR="00B57647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ešte v roku 2020, prinieslo mnohé zaujímavé informácie o domoch, bytoch</w:t>
      </w:r>
      <w:r w:rsidR="00B57647">
        <w:rPr>
          <w:color w:val="000000" w:themeColor="text1"/>
          <w:sz w:val="24"/>
          <w:szCs w:val="24"/>
        </w:rPr>
        <w:t xml:space="preserve"> a </w:t>
      </w:r>
      <w:r>
        <w:rPr>
          <w:color w:val="000000" w:themeColor="text1"/>
          <w:sz w:val="24"/>
          <w:szCs w:val="24"/>
        </w:rPr>
        <w:t>kvalite bývania</w:t>
      </w:r>
      <w:r w:rsidR="00B57647">
        <w:rPr>
          <w:color w:val="000000" w:themeColor="text1"/>
          <w:sz w:val="24"/>
          <w:szCs w:val="24"/>
        </w:rPr>
        <w:t xml:space="preserve"> obyvateľov Slovenskej republiky. V rámci zverejňovania údajov vám budeme pravidelne prinášať zaujímavé informácie zo </w:t>
      </w:r>
      <w:r w:rsidR="00D31EA2">
        <w:rPr>
          <w:color w:val="000000" w:themeColor="text1"/>
          <w:sz w:val="24"/>
          <w:szCs w:val="24"/>
        </w:rPr>
        <w:t>S</w:t>
      </w:r>
      <w:r w:rsidR="00B57647">
        <w:rPr>
          <w:color w:val="000000" w:themeColor="text1"/>
          <w:sz w:val="24"/>
          <w:szCs w:val="24"/>
        </w:rPr>
        <w:t xml:space="preserve">čítania domov a bytov v podobe seriálu. Zameriame sa na kraje </w:t>
      </w:r>
      <w:r w:rsidR="00D31EA2">
        <w:rPr>
          <w:color w:val="000000" w:themeColor="text1"/>
          <w:sz w:val="24"/>
          <w:szCs w:val="24"/>
        </w:rPr>
        <w:t>S</w:t>
      </w:r>
      <w:r w:rsidR="00B57647">
        <w:rPr>
          <w:color w:val="000000" w:themeColor="text1"/>
          <w:sz w:val="24"/>
          <w:szCs w:val="24"/>
        </w:rPr>
        <w:t xml:space="preserve">lovenskej republiky. </w:t>
      </w:r>
      <w:r w:rsidR="000D11AC">
        <w:rPr>
          <w:color w:val="000000" w:themeColor="text1"/>
          <w:sz w:val="24"/>
          <w:szCs w:val="24"/>
        </w:rPr>
        <w:t xml:space="preserve">Dnes podrobne rozoberieme Trnavský kraj. </w:t>
      </w:r>
    </w:p>
    <w:p w14:paraId="7CFCE936" w14:textId="0D8BA944" w:rsidR="00B57647" w:rsidRDefault="00B57647" w:rsidP="00CE53F6">
      <w:pPr>
        <w:rPr>
          <w:color w:val="000000" w:themeColor="text1"/>
          <w:sz w:val="24"/>
          <w:szCs w:val="24"/>
        </w:rPr>
      </w:pPr>
    </w:p>
    <w:p w14:paraId="41E957DD" w14:textId="2D8BB8DF" w:rsidR="00B57647" w:rsidRPr="00C86474" w:rsidRDefault="00C94B35" w:rsidP="00CE53F6">
      <w:pPr>
        <w:rPr>
          <w:b/>
          <w:bCs/>
          <w:color w:val="365F91" w:themeColor="accent1" w:themeShade="BF"/>
          <w:sz w:val="24"/>
          <w:szCs w:val="24"/>
        </w:rPr>
      </w:pPr>
      <w:r>
        <w:rPr>
          <w:b/>
          <w:bCs/>
          <w:color w:val="365F91" w:themeColor="accent1" w:themeShade="BF"/>
          <w:sz w:val="24"/>
          <w:szCs w:val="24"/>
        </w:rPr>
        <w:t xml:space="preserve">Trnavský </w:t>
      </w:r>
      <w:r w:rsidR="00B57647" w:rsidRPr="00C86474">
        <w:rPr>
          <w:b/>
          <w:bCs/>
          <w:color w:val="365F91" w:themeColor="accent1" w:themeShade="BF"/>
          <w:sz w:val="24"/>
          <w:szCs w:val="24"/>
        </w:rPr>
        <w:t xml:space="preserve">kraj </w:t>
      </w:r>
      <w:r w:rsidR="00F04CFA" w:rsidRPr="00C86474">
        <w:rPr>
          <w:b/>
          <w:bCs/>
          <w:color w:val="365F91" w:themeColor="accent1" w:themeShade="BF"/>
          <w:sz w:val="24"/>
          <w:szCs w:val="24"/>
        </w:rPr>
        <w:t>a jeho jedinečnosti v</w:t>
      </w:r>
      <w:r w:rsidR="001811F4">
        <w:rPr>
          <w:b/>
          <w:bCs/>
          <w:color w:val="365F91" w:themeColor="accent1" w:themeShade="BF"/>
          <w:sz w:val="24"/>
          <w:szCs w:val="24"/>
        </w:rPr>
        <w:t xml:space="preserve"> oblasti </w:t>
      </w:r>
      <w:r w:rsidR="00F04CFA" w:rsidRPr="00C86474">
        <w:rPr>
          <w:b/>
          <w:bCs/>
          <w:color w:val="365F91" w:themeColor="accent1" w:themeShade="BF"/>
          <w:sz w:val="24"/>
          <w:szCs w:val="24"/>
        </w:rPr>
        <w:t> domo</w:t>
      </w:r>
      <w:r w:rsidR="001811F4">
        <w:rPr>
          <w:b/>
          <w:bCs/>
          <w:color w:val="365F91" w:themeColor="accent1" w:themeShade="BF"/>
          <w:sz w:val="24"/>
          <w:szCs w:val="24"/>
        </w:rPr>
        <w:t>v</w:t>
      </w:r>
      <w:r w:rsidR="00F04CFA" w:rsidRPr="00C86474">
        <w:rPr>
          <w:b/>
          <w:bCs/>
          <w:color w:val="365F91" w:themeColor="accent1" w:themeShade="BF"/>
          <w:sz w:val="24"/>
          <w:szCs w:val="24"/>
        </w:rPr>
        <w:t xml:space="preserve"> a byto</w:t>
      </w:r>
      <w:r w:rsidR="001811F4">
        <w:rPr>
          <w:b/>
          <w:bCs/>
          <w:color w:val="365F91" w:themeColor="accent1" w:themeShade="BF"/>
          <w:sz w:val="24"/>
          <w:szCs w:val="24"/>
        </w:rPr>
        <w:t>v</w:t>
      </w:r>
    </w:p>
    <w:p w14:paraId="6504E3E2" w14:textId="29753AF9" w:rsidR="007026BD" w:rsidRPr="00A36CBB" w:rsidRDefault="00C94B35" w:rsidP="00A36CBB">
      <w:pPr>
        <w:pStyle w:val="Odsekzoznamu"/>
        <w:numPr>
          <w:ilvl w:val="0"/>
          <w:numId w:val="16"/>
        </w:numPr>
        <w:rPr>
          <w:color w:val="000000" w:themeColor="text1"/>
          <w:sz w:val="24"/>
          <w:szCs w:val="24"/>
        </w:rPr>
      </w:pPr>
      <w:r w:rsidRPr="00A36CBB">
        <w:rPr>
          <w:sz w:val="24"/>
        </w:rPr>
        <w:t>Celkovo bolo v kraji sčítaných  o 22 703 domov viac ako pri SODB 2011, čo predstavuje nárast o 17 %. Konkrétne z</w:t>
      </w:r>
      <w:r w:rsidR="00A36CBB">
        <w:rPr>
          <w:sz w:val="24"/>
        </w:rPr>
        <w:t>o</w:t>
      </w:r>
      <w:r w:rsidRPr="00A36CBB">
        <w:rPr>
          <w:sz w:val="24"/>
        </w:rPr>
        <w:t>  131 016 domov v roku 2011 na 153 719 v roku 2021.</w:t>
      </w:r>
    </w:p>
    <w:p w14:paraId="0BCA4464" w14:textId="11642DFD" w:rsidR="00C94B35" w:rsidRPr="009E4462" w:rsidRDefault="00C94B35" w:rsidP="00C94B35">
      <w:pPr>
        <w:pStyle w:val="Odsekzoznamu"/>
        <w:numPr>
          <w:ilvl w:val="0"/>
          <w:numId w:val="16"/>
        </w:numPr>
        <w:rPr>
          <w:color w:val="000000" w:themeColor="text1"/>
          <w:sz w:val="24"/>
          <w:szCs w:val="24"/>
        </w:rPr>
      </w:pPr>
      <w:r>
        <w:rPr>
          <w:sz w:val="24"/>
        </w:rPr>
        <w:t>Z celkového počtu domov v kraji bolo najviac domov v okrese Dunajská Streda (24,5 %; 37</w:t>
      </w:r>
      <w:r w:rsidR="009E4462">
        <w:rPr>
          <w:sz w:val="24"/>
        </w:rPr>
        <w:t> </w:t>
      </w:r>
      <w:r>
        <w:rPr>
          <w:sz w:val="24"/>
        </w:rPr>
        <w:t>685)</w:t>
      </w:r>
      <w:r w:rsidR="00A36CBB">
        <w:rPr>
          <w:sz w:val="24"/>
        </w:rPr>
        <w:t>.</w:t>
      </w:r>
    </w:p>
    <w:p w14:paraId="0C45937F" w14:textId="77777777" w:rsidR="009E4462" w:rsidRDefault="009E4462" w:rsidP="009E4462">
      <w:pPr>
        <w:pStyle w:val="Odsekzoznamu"/>
        <w:numPr>
          <w:ilvl w:val="0"/>
          <w:numId w:val="16"/>
        </w:numPr>
        <w:jc w:val="both"/>
        <w:rPr>
          <w:sz w:val="24"/>
        </w:rPr>
      </w:pPr>
      <w:r w:rsidRPr="009E4462">
        <w:rPr>
          <w:sz w:val="24"/>
        </w:rPr>
        <w:t xml:space="preserve">Podľa typu domu prevládajú v Trnavskom kraji najmä rodinné domy. </w:t>
      </w:r>
    </w:p>
    <w:p w14:paraId="18F01662" w14:textId="3EEE5959" w:rsidR="009E4462" w:rsidRPr="009E4462" w:rsidRDefault="009E4462" w:rsidP="009E4462">
      <w:pPr>
        <w:pStyle w:val="Odsekzoznamu"/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P</w:t>
      </w:r>
      <w:r w:rsidRPr="009E4462">
        <w:rPr>
          <w:sz w:val="24"/>
        </w:rPr>
        <w:t>odiel</w:t>
      </w:r>
      <w:r>
        <w:rPr>
          <w:sz w:val="24"/>
        </w:rPr>
        <w:t xml:space="preserve"> rodinných domov </w:t>
      </w:r>
      <w:r w:rsidRPr="009E4462">
        <w:rPr>
          <w:sz w:val="24"/>
        </w:rPr>
        <w:t xml:space="preserve"> predstavoval </w:t>
      </w:r>
      <w:r w:rsidR="00387977">
        <w:rPr>
          <w:sz w:val="24"/>
        </w:rPr>
        <w:t xml:space="preserve">v Trnavskom kraji </w:t>
      </w:r>
      <w:r w:rsidRPr="009E4462">
        <w:rPr>
          <w:sz w:val="24"/>
        </w:rPr>
        <w:t xml:space="preserve">90,1 % (138 500), čo je druhý najvyšší podiel v SR. </w:t>
      </w:r>
    </w:p>
    <w:p w14:paraId="33C26EF2" w14:textId="77777777" w:rsidR="00B9430D" w:rsidRPr="00B9430D" w:rsidRDefault="00B9430D" w:rsidP="00C94B35">
      <w:pPr>
        <w:pStyle w:val="Odsekzoznamu"/>
        <w:numPr>
          <w:ilvl w:val="0"/>
          <w:numId w:val="16"/>
        </w:numPr>
        <w:rPr>
          <w:color w:val="000000" w:themeColor="text1"/>
          <w:sz w:val="24"/>
          <w:szCs w:val="24"/>
        </w:rPr>
      </w:pPr>
      <w:r>
        <w:rPr>
          <w:sz w:val="24"/>
        </w:rPr>
        <w:t>Najvyšší počet bytov v kraji mal okres Trnava (56 172 bytov; 23,2 % všetkých bytov v kraji). </w:t>
      </w:r>
    </w:p>
    <w:p w14:paraId="3FF1D4C4" w14:textId="4526F867" w:rsidR="009E4462" w:rsidRPr="00B9430D" w:rsidRDefault="00B9430D" w:rsidP="00C94B35">
      <w:pPr>
        <w:pStyle w:val="Odsekzoznamu"/>
        <w:numPr>
          <w:ilvl w:val="0"/>
          <w:numId w:val="16"/>
        </w:numPr>
        <w:rPr>
          <w:color w:val="000000" w:themeColor="text1"/>
          <w:sz w:val="24"/>
          <w:szCs w:val="24"/>
        </w:rPr>
      </w:pPr>
      <w:r>
        <w:rPr>
          <w:sz w:val="24"/>
        </w:rPr>
        <w:t>Najmenší počet bytov v kraji mal okres Hlohovec (18 145; 7,5 %).</w:t>
      </w:r>
    </w:p>
    <w:p w14:paraId="031473FE" w14:textId="33BFA907" w:rsidR="00B9430D" w:rsidRPr="00E4166D" w:rsidRDefault="00B9430D" w:rsidP="00C94B35">
      <w:pPr>
        <w:pStyle w:val="Odsekzoznamu"/>
        <w:numPr>
          <w:ilvl w:val="0"/>
          <w:numId w:val="16"/>
        </w:numPr>
        <w:rPr>
          <w:color w:val="000000" w:themeColor="text1"/>
          <w:sz w:val="24"/>
          <w:szCs w:val="24"/>
        </w:rPr>
      </w:pPr>
      <w:r>
        <w:rPr>
          <w:sz w:val="24"/>
        </w:rPr>
        <w:t>Najviac bytov za posledných 10 rokov pribudlo  v okrese Dunajská Streda. Prírastok predstavoval 11 996 bytov, čo je nárast o 27,6 %.</w:t>
      </w:r>
    </w:p>
    <w:p w14:paraId="5AC44A1B" w14:textId="7A29F3C9" w:rsidR="00E4166D" w:rsidRPr="00A24899" w:rsidRDefault="00E4166D" w:rsidP="00C94B35">
      <w:pPr>
        <w:pStyle w:val="Odsekzoznamu"/>
        <w:numPr>
          <w:ilvl w:val="0"/>
          <w:numId w:val="16"/>
        </w:numPr>
        <w:rPr>
          <w:color w:val="000000" w:themeColor="text1"/>
          <w:sz w:val="24"/>
          <w:szCs w:val="24"/>
        </w:rPr>
      </w:pPr>
      <w:r>
        <w:rPr>
          <w:sz w:val="24"/>
        </w:rPr>
        <w:t>Trnavský kraj mal spomedzi všetkých krajov SR najvyšší podiel domov s murovanou konštrukciou</w:t>
      </w:r>
      <w:r w:rsidRPr="0080498E">
        <w:rPr>
          <w:sz w:val="24"/>
        </w:rPr>
        <w:t xml:space="preserve"> (</w:t>
      </w:r>
      <w:r>
        <w:rPr>
          <w:sz w:val="24"/>
        </w:rPr>
        <w:t>tehly, tvárnice, tehlové bloky) a tento predstavoval 84,6 % (130 053 domov) z celkového počtu domov v kraji.</w:t>
      </w:r>
    </w:p>
    <w:p w14:paraId="37702717" w14:textId="7B5313B9" w:rsidR="00A24899" w:rsidRPr="00C81313" w:rsidRDefault="00A24899" w:rsidP="00C94B35">
      <w:pPr>
        <w:pStyle w:val="Odsekzoznamu"/>
        <w:numPr>
          <w:ilvl w:val="0"/>
          <w:numId w:val="16"/>
        </w:numPr>
        <w:rPr>
          <w:color w:val="000000" w:themeColor="text1"/>
          <w:sz w:val="24"/>
          <w:szCs w:val="24"/>
        </w:rPr>
      </w:pPr>
      <w:r>
        <w:rPr>
          <w:sz w:val="24"/>
        </w:rPr>
        <w:t>V obci Báč má murovanú konštrukciu až 97,7 % domov.</w:t>
      </w:r>
    </w:p>
    <w:p w14:paraId="3D2890FA" w14:textId="232AFA05" w:rsidR="00C81313" w:rsidRPr="00370B52" w:rsidRDefault="00C81313" w:rsidP="00C94B35">
      <w:pPr>
        <w:pStyle w:val="Odsekzoznamu"/>
        <w:numPr>
          <w:ilvl w:val="0"/>
          <w:numId w:val="16"/>
        </w:numPr>
        <w:rPr>
          <w:color w:val="000000" w:themeColor="text1"/>
          <w:sz w:val="24"/>
          <w:szCs w:val="24"/>
        </w:rPr>
      </w:pPr>
      <w:r>
        <w:rPr>
          <w:sz w:val="24"/>
        </w:rPr>
        <w:t>Najnižší výskyt domov s murovanou konštrukciou bol v okrese Senica  79,9 %;</w:t>
      </w:r>
    </w:p>
    <w:p w14:paraId="4E6DDC9D" w14:textId="5425B3F8" w:rsidR="00370B52" w:rsidRPr="00370B52" w:rsidRDefault="00370B52" w:rsidP="00370B52">
      <w:pPr>
        <w:pStyle w:val="Odsekzoznamu"/>
        <w:numPr>
          <w:ilvl w:val="0"/>
          <w:numId w:val="16"/>
        </w:numPr>
        <w:jc w:val="both"/>
        <w:rPr>
          <w:b/>
          <w:bCs/>
          <w:sz w:val="24"/>
        </w:rPr>
      </w:pPr>
      <w:r>
        <w:rPr>
          <w:sz w:val="24"/>
        </w:rPr>
        <w:t xml:space="preserve">Trnavský </w:t>
      </w:r>
      <w:r w:rsidRPr="00370B52">
        <w:rPr>
          <w:sz w:val="24"/>
        </w:rPr>
        <w:t xml:space="preserve"> kraj </w:t>
      </w:r>
      <w:r>
        <w:rPr>
          <w:sz w:val="24"/>
        </w:rPr>
        <w:t xml:space="preserve">je krajom </w:t>
      </w:r>
      <w:r w:rsidRPr="00370B52">
        <w:rPr>
          <w:sz w:val="24"/>
        </w:rPr>
        <w:t>s druhým najnižším podielom domov bez vodovodnej prípojky.</w:t>
      </w:r>
      <w:r>
        <w:rPr>
          <w:sz w:val="24"/>
        </w:rPr>
        <w:t xml:space="preserve"> Bez vodovodnej prípojky bolo 2 051 domov, čo predstavuje 1,3 % z celkového počtu domov v kraji.</w:t>
      </w:r>
    </w:p>
    <w:p w14:paraId="42C659BF" w14:textId="453B54CA" w:rsidR="00370B52" w:rsidRPr="00547211" w:rsidRDefault="00110528" w:rsidP="00C94B35">
      <w:pPr>
        <w:pStyle w:val="Odsekzoznamu"/>
        <w:numPr>
          <w:ilvl w:val="0"/>
          <w:numId w:val="16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>
        <w:rPr>
          <w:sz w:val="24"/>
        </w:rPr>
        <w:t>Najvyšší podiel domov bez vodovodnej prípojky je  v Senickom okrese (2,1 %; 395 domov), najnižší bol v okrese Trnava (0,9 %; 274 domov)</w:t>
      </w:r>
      <w:r w:rsidR="00547211">
        <w:rPr>
          <w:sz w:val="24"/>
        </w:rPr>
        <w:t>.</w:t>
      </w:r>
    </w:p>
    <w:p w14:paraId="1030A82C" w14:textId="4F0381DE" w:rsidR="00547211" w:rsidRPr="00547211" w:rsidRDefault="00547211" w:rsidP="00C94B35">
      <w:pPr>
        <w:pStyle w:val="Odsekzoznamu"/>
        <w:numPr>
          <w:ilvl w:val="0"/>
          <w:numId w:val="16"/>
        </w:numPr>
        <w:rPr>
          <w:color w:val="000000" w:themeColor="text1"/>
          <w:sz w:val="24"/>
          <w:szCs w:val="24"/>
        </w:rPr>
      </w:pPr>
      <w:r>
        <w:rPr>
          <w:sz w:val="24"/>
        </w:rPr>
        <w:t>V Trnavskom kraji bolo 3,1 % (4 748) domov bez kanalizácie, čo je druhý najnižší podiel domov spomedzi všetkých krajov v SR.</w:t>
      </w:r>
    </w:p>
    <w:p w14:paraId="5499FEA2" w14:textId="1C36AA6E" w:rsidR="00547211" w:rsidRPr="00547211" w:rsidRDefault="00547211" w:rsidP="00C94B35">
      <w:pPr>
        <w:pStyle w:val="Odsekzoznamu"/>
        <w:numPr>
          <w:ilvl w:val="0"/>
          <w:numId w:val="16"/>
        </w:numPr>
        <w:rPr>
          <w:color w:val="000000" w:themeColor="text1"/>
          <w:sz w:val="24"/>
          <w:szCs w:val="24"/>
        </w:rPr>
      </w:pPr>
      <w:r w:rsidRPr="00547211">
        <w:rPr>
          <w:sz w:val="24"/>
        </w:rPr>
        <w:t>Pri porovnaní s ostatnými krajmi bol práve v Trnavskom kraji najvyšší podiel domov s plynovou prípojkou z celkového počtu domov v kraji.</w:t>
      </w:r>
    </w:p>
    <w:p w14:paraId="7834F58E" w14:textId="15F4B067" w:rsidR="00547211" w:rsidRPr="007D3459" w:rsidRDefault="00547211" w:rsidP="00C94B35">
      <w:pPr>
        <w:pStyle w:val="Odsekzoznamu"/>
        <w:numPr>
          <w:ilvl w:val="0"/>
          <w:numId w:val="16"/>
        </w:numPr>
        <w:rPr>
          <w:color w:val="000000" w:themeColor="text1"/>
          <w:sz w:val="24"/>
          <w:szCs w:val="24"/>
        </w:rPr>
      </w:pPr>
      <w:r>
        <w:rPr>
          <w:sz w:val="24"/>
        </w:rPr>
        <w:t>Viac ako polovica bytov z celkového počtu bytov v kraji bola vykurovaná</w:t>
      </w:r>
      <w:r w:rsidR="007D3459">
        <w:rPr>
          <w:sz w:val="24"/>
        </w:rPr>
        <w:t xml:space="preserve"> lokálnym ústredným  kúrením (51,2 %; 124 092 bytov)</w:t>
      </w:r>
      <w:r w:rsidR="00194598">
        <w:rPr>
          <w:sz w:val="24"/>
        </w:rPr>
        <w:t>,</w:t>
      </w:r>
      <w:r w:rsidR="007D3459">
        <w:rPr>
          <w:sz w:val="24"/>
        </w:rPr>
        <w:t xml:space="preserve"> čím sa Trnavský kraj stal jediným krajom SR s takýmto vysokým podielom.</w:t>
      </w:r>
    </w:p>
    <w:p w14:paraId="2809AE96" w14:textId="77777777" w:rsidR="007D3459" w:rsidRPr="007D3459" w:rsidRDefault="007D3459" w:rsidP="007D3459">
      <w:pPr>
        <w:pStyle w:val="Odsekzoznamu"/>
        <w:numPr>
          <w:ilvl w:val="0"/>
          <w:numId w:val="16"/>
        </w:numPr>
        <w:rPr>
          <w:color w:val="000000" w:themeColor="text1"/>
          <w:sz w:val="24"/>
          <w:szCs w:val="24"/>
        </w:rPr>
      </w:pPr>
      <w:r w:rsidRPr="007D3459">
        <w:rPr>
          <w:sz w:val="24"/>
        </w:rPr>
        <w:lastRenderedPageBreak/>
        <w:t>Trnavský kraj môžeme považovať za dobrý príklad toho, ako sa dajú vo vyššej miere využiť obnoviteľné zdroje energie na vykurovanie bytov. So svojimi 27,5 % mal Trnavský kraj v rámci SR najvyšší podiel obnoviteľných zdrojov energie použitých na vykurovanie v rámci SR.</w:t>
      </w:r>
    </w:p>
    <w:p w14:paraId="7A3A422D" w14:textId="67200FAB" w:rsidR="007D3459" w:rsidRPr="00387551" w:rsidRDefault="00387551" w:rsidP="00C94B35">
      <w:pPr>
        <w:pStyle w:val="Odsekzoznamu"/>
        <w:numPr>
          <w:ilvl w:val="0"/>
          <w:numId w:val="16"/>
        </w:numPr>
        <w:rPr>
          <w:color w:val="000000" w:themeColor="text1"/>
          <w:sz w:val="24"/>
          <w:szCs w:val="24"/>
        </w:rPr>
      </w:pPr>
      <w:r>
        <w:rPr>
          <w:sz w:val="24"/>
        </w:rPr>
        <w:t>V</w:t>
      </w:r>
      <w:r w:rsidRPr="00E77935">
        <w:rPr>
          <w:sz w:val="24"/>
        </w:rPr>
        <w:t xml:space="preserve"> okrese </w:t>
      </w:r>
      <w:r>
        <w:rPr>
          <w:sz w:val="24"/>
        </w:rPr>
        <w:t>Galanta</w:t>
      </w:r>
      <w:r w:rsidRPr="00E77935">
        <w:rPr>
          <w:sz w:val="24"/>
        </w:rPr>
        <w:t xml:space="preserve"> </w:t>
      </w:r>
      <w:r>
        <w:rPr>
          <w:sz w:val="24"/>
        </w:rPr>
        <w:t xml:space="preserve">sa </w:t>
      </w:r>
      <w:r w:rsidRPr="00E77935">
        <w:rPr>
          <w:sz w:val="24"/>
        </w:rPr>
        <w:t>nachádzal najvyšší počet domov bez vodovodnej prípojky (</w:t>
      </w:r>
      <w:r>
        <w:rPr>
          <w:sz w:val="24"/>
        </w:rPr>
        <w:t xml:space="preserve">423 </w:t>
      </w:r>
      <w:r w:rsidRPr="00E77935">
        <w:rPr>
          <w:sz w:val="24"/>
        </w:rPr>
        <w:t>domov)</w:t>
      </w:r>
      <w:r w:rsidR="00194598">
        <w:rPr>
          <w:sz w:val="24"/>
        </w:rPr>
        <w:t>.</w:t>
      </w:r>
    </w:p>
    <w:p w14:paraId="2C16AB52" w14:textId="77777777" w:rsidR="00387551" w:rsidRPr="00387551" w:rsidRDefault="00387551" w:rsidP="00387551">
      <w:pPr>
        <w:pStyle w:val="Odsekzoznamu"/>
        <w:numPr>
          <w:ilvl w:val="0"/>
          <w:numId w:val="16"/>
        </w:numPr>
        <w:jc w:val="both"/>
        <w:rPr>
          <w:sz w:val="24"/>
        </w:rPr>
      </w:pPr>
      <w:r w:rsidRPr="00387551">
        <w:rPr>
          <w:sz w:val="24"/>
        </w:rPr>
        <w:t xml:space="preserve">V okrese Senica bol najvyšší počet domov bez kanalizácie (1 024 domov),  bez vodovodnej prípojky (2,1 % z celkového počtu domov v okrese; 395 domov) a bez kanalizácie (5,5 % z celkového počtu domov v okrese; 1 024 domov) v rámci okresov Trnavského kraja. </w:t>
      </w:r>
    </w:p>
    <w:p w14:paraId="002DB8BA" w14:textId="77777777" w:rsidR="00387551" w:rsidRPr="00B9430D" w:rsidRDefault="00387551" w:rsidP="000E7A7C">
      <w:pPr>
        <w:pStyle w:val="Odsekzoznamu"/>
        <w:ind w:left="720"/>
        <w:rPr>
          <w:color w:val="000000" w:themeColor="text1"/>
          <w:sz w:val="24"/>
          <w:szCs w:val="24"/>
        </w:rPr>
      </w:pPr>
    </w:p>
    <w:p w14:paraId="4AB982EA" w14:textId="77777777" w:rsidR="00B9430D" w:rsidRPr="00C94B35" w:rsidRDefault="00B9430D" w:rsidP="00B9430D">
      <w:pPr>
        <w:pStyle w:val="Odsekzoznamu"/>
        <w:ind w:left="720"/>
        <w:rPr>
          <w:color w:val="000000" w:themeColor="text1"/>
          <w:sz w:val="24"/>
          <w:szCs w:val="24"/>
        </w:rPr>
      </w:pPr>
    </w:p>
    <w:p w14:paraId="0E57E86F" w14:textId="3E14D831" w:rsidR="007026BD" w:rsidRPr="00C86474" w:rsidRDefault="00C86474" w:rsidP="007026BD">
      <w:pPr>
        <w:rPr>
          <w:b/>
          <w:bCs/>
          <w:color w:val="365F91" w:themeColor="accent1" w:themeShade="BF"/>
          <w:sz w:val="24"/>
          <w:szCs w:val="24"/>
        </w:rPr>
      </w:pPr>
      <w:r w:rsidRPr="00C86474">
        <w:rPr>
          <w:b/>
          <w:bCs/>
          <w:color w:val="365F91" w:themeColor="accent1" w:themeShade="BF"/>
          <w:sz w:val="24"/>
          <w:szCs w:val="24"/>
        </w:rPr>
        <w:t xml:space="preserve">Podrobnejšie k zisteným ukazovateľom </w:t>
      </w:r>
    </w:p>
    <w:p w14:paraId="68D583CB" w14:textId="5406126C" w:rsidR="00BF49E6" w:rsidRDefault="00BF49E6" w:rsidP="00BF49E6">
      <w:pPr>
        <w:jc w:val="both"/>
        <w:rPr>
          <w:sz w:val="24"/>
        </w:rPr>
      </w:pPr>
      <w:r>
        <w:rPr>
          <w:sz w:val="24"/>
        </w:rPr>
        <w:t>Podľa výsledkov SODB 2021 bolo v Trnavskom kraji sčítaných 153 719 domov. Domy v Trnavskom kraji tvorili 12,5 % z celkového počtu domov v</w:t>
      </w:r>
      <w:r w:rsidR="00CD5015">
        <w:rPr>
          <w:sz w:val="24"/>
        </w:rPr>
        <w:t> </w:t>
      </w:r>
      <w:r>
        <w:rPr>
          <w:sz w:val="24"/>
        </w:rPr>
        <w:t>SR</w:t>
      </w:r>
      <w:r w:rsidR="00CD5015">
        <w:rPr>
          <w:sz w:val="24"/>
        </w:rPr>
        <w:t>.</w:t>
      </w:r>
      <w:r>
        <w:rPr>
          <w:sz w:val="24"/>
        </w:rPr>
        <w:t xml:space="preserve"> Z celkového počtu domov v kraji bolo najviac domov v okrese Dunajská Streda (24,5 %; 37 685), nasledoval okres Trnava (19,8 %; 30 425). Naopak</w:t>
      </w:r>
      <w:r w:rsidR="00194598">
        <w:rPr>
          <w:sz w:val="24"/>
        </w:rPr>
        <w:t>,</w:t>
      </w:r>
      <w:r>
        <w:rPr>
          <w:sz w:val="24"/>
        </w:rPr>
        <w:t xml:space="preserve"> najmenej domov bolo v okrese Skalica (7 %; 11 230). Celkovo bolo v kraji o 22 703 domov viac ako pri SODB 2011, čo predstavuje nárast o 17 % (z hodnoty 131 016 v roku 2011 na 153 719 v roku 2021).</w:t>
      </w:r>
      <w:r w:rsidR="00CD5015">
        <w:rPr>
          <w:sz w:val="24"/>
        </w:rPr>
        <w:t xml:space="preserve"> </w:t>
      </w:r>
      <w:r>
        <w:rPr>
          <w:sz w:val="24"/>
        </w:rPr>
        <w:t>Podľa typu domu prevládajú v Trnavskom kraji najmä rodinné domy. Ich podiel predstavoval 90,1 % (138 500), čo je druhý najvyšší podiel v SR. Podiel bytových domov predstavoval 5,4 %.</w:t>
      </w:r>
    </w:p>
    <w:p w14:paraId="57B7BD93" w14:textId="3EF08931" w:rsidR="00CD5015" w:rsidRDefault="00CD5015" w:rsidP="00BF49E6">
      <w:pPr>
        <w:jc w:val="both"/>
        <w:rPr>
          <w:sz w:val="24"/>
        </w:rPr>
      </w:pPr>
    </w:p>
    <w:p w14:paraId="2CCC0002" w14:textId="24485627" w:rsidR="00CD5015" w:rsidRPr="00CD5015" w:rsidRDefault="00CD5015" w:rsidP="00BF49E6">
      <w:pPr>
        <w:jc w:val="both"/>
        <w:rPr>
          <w:b/>
          <w:bCs/>
          <w:sz w:val="24"/>
        </w:rPr>
      </w:pPr>
      <w:r w:rsidRPr="00CD5015">
        <w:rPr>
          <w:b/>
          <w:bCs/>
          <w:color w:val="365F91" w:themeColor="accent1" w:themeShade="BF"/>
          <w:sz w:val="24"/>
        </w:rPr>
        <w:t>Najmenší počet a podiel bytov v SR</w:t>
      </w:r>
    </w:p>
    <w:p w14:paraId="622DE92C" w14:textId="77777777" w:rsidR="00BF49E6" w:rsidRDefault="00BF49E6" w:rsidP="00BF49E6">
      <w:pPr>
        <w:jc w:val="both"/>
        <w:rPr>
          <w:sz w:val="24"/>
        </w:rPr>
      </w:pPr>
      <w:r>
        <w:rPr>
          <w:sz w:val="24"/>
        </w:rPr>
        <w:t xml:space="preserve">K 1. januáru 2021 bolo na území Trnavského kraja 242 376 bytov (10,8 % z celkového počtu bytov v SR), čiže je to najmenší počet a podiel bytov v SR. Počet bytov v porovnaní s rokom 2011 vzrástol o 35 389 (o 17,1 %). Takmer polovica všetkých bytov na území Trnavského kraja pripadala na okresy Trnava a Dunajská Streda (111 621 bytov; 46,1 %). Z nich najvyšší počet mal okres Trnava (56 172 bytov; 23,2 % všetkých bytov v kraji). Najmenší počet bytov v kraji mal okres Hlohovec (18 145; 7,5 %). V rámci Trnavského kraja najvyšší prírastok bytov za posledných 10 rokov bol v okrese Dunajská Streda. Prírastok predstavoval 11 996 bytov, čo je nárast o 27,6 %. </w:t>
      </w:r>
    </w:p>
    <w:p w14:paraId="16572271" w14:textId="77777777" w:rsidR="00BF49E6" w:rsidRDefault="00BF49E6" w:rsidP="00BF49E6">
      <w:pPr>
        <w:jc w:val="both"/>
        <w:rPr>
          <w:sz w:val="24"/>
        </w:rPr>
      </w:pPr>
    </w:p>
    <w:p w14:paraId="27D0FA48" w14:textId="77777777" w:rsidR="00BF49E6" w:rsidRPr="00023836" w:rsidRDefault="00BF49E6" w:rsidP="00BF49E6">
      <w:pPr>
        <w:jc w:val="both"/>
        <w:rPr>
          <w:b/>
          <w:bCs/>
          <w:color w:val="365F91" w:themeColor="accent1" w:themeShade="BF"/>
          <w:sz w:val="24"/>
        </w:rPr>
      </w:pPr>
      <w:r w:rsidRPr="00023836">
        <w:rPr>
          <w:b/>
          <w:bCs/>
          <w:color w:val="365F91" w:themeColor="accent1" w:themeShade="BF"/>
          <w:sz w:val="24"/>
        </w:rPr>
        <w:t>Spoliehajú sa na murovanú konštrukciu</w:t>
      </w:r>
    </w:p>
    <w:p w14:paraId="171E5C99" w14:textId="40B66623" w:rsidR="00BF49E6" w:rsidRDefault="00BF49E6" w:rsidP="00BF49E6">
      <w:pPr>
        <w:jc w:val="both"/>
        <w:rPr>
          <w:sz w:val="24"/>
        </w:rPr>
      </w:pPr>
      <w:bookmarkStart w:id="0" w:name="_Hlk99053320"/>
      <w:r>
        <w:rPr>
          <w:sz w:val="24"/>
        </w:rPr>
        <w:t>Trnavský kraj mal spomedzi všetkých krajov SR najvyšší podiel domov s murovanou konštrukciou</w:t>
      </w:r>
      <w:r w:rsidRPr="0080498E">
        <w:rPr>
          <w:sz w:val="24"/>
        </w:rPr>
        <w:t xml:space="preserve"> (</w:t>
      </w:r>
      <w:r>
        <w:rPr>
          <w:sz w:val="24"/>
        </w:rPr>
        <w:t>tehly, tvárnice, tehlové bloky) a tento predstavoval 84,6 % (130 053 domov) z celkového počtu domov v kraji.</w:t>
      </w:r>
      <w:bookmarkEnd w:id="0"/>
      <w:r>
        <w:rPr>
          <w:sz w:val="24"/>
        </w:rPr>
        <w:t xml:space="preserve"> V rámci okresov Trnavského kraja bola murovaná konštrukcia dominantná najmä </w:t>
      </w:r>
      <w:bookmarkStart w:id="1" w:name="_Hlk99053483"/>
      <w:r>
        <w:rPr>
          <w:sz w:val="24"/>
        </w:rPr>
        <w:t>v okrese Dunajská Streda (86,9 %; 32 745), v ktorom  nájdeme aj obec Báč, kde až 97,7 % domov malo práve murovanú konštrukciu.</w:t>
      </w:r>
      <w:bookmarkEnd w:id="1"/>
      <w:r>
        <w:rPr>
          <w:sz w:val="24"/>
        </w:rPr>
        <w:t xml:space="preserve"> </w:t>
      </w:r>
      <w:bookmarkStart w:id="2" w:name="_Hlk99053741"/>
      <w:r>
        <w:rPr>
          <w:sz w:val="24"/>
        </w:rPr>
        <w:t>Naopak, najnižší výskyt domov s murovanou konštrukciou bol v okrese Senica  (79,9 %; 14 766), kde napríklad v obci Hradište pod Vrátnom bolo len 35,9 % domov s murovanou konštrukciou.</w:t>
      </w:r>
      <w:bookmarkEnd w:id="2"/>
      <w:r>
        <w:rPr>
          <w:sz w:val="24"/>
        </w:rPr>
        <w:t xml:space="preserve"> </w:t>
      </w:r>
      <w:bookmarkStart w:id="3" w:name="_Hlk99053873"/>
      <w:r>
        <w:rPr>
          <w:sz w:val="24"/>
        </w:rPr>
        <w:t xml:space="preserve">Druhým najčastejším materiálom nosnej konštrukcie v Trnavskom kraji bola konštrukcia z nepálených tehál, ktorá tvorila 5,6 % </w:t>
      </w:r>
      <w:bookmarkEnd w:id="3"/>
      <w:r>
        <w:rPr>
          <w:sz w:val="24"/>
        </w:rPr>
        <w:t xml:space="preserve">(8 662 domov). </w:t>
      </w:r>
      <w:bookmarkStart w:id="4" w:name="_Hlk99053944"/>
      <w:r>
        <w:rPr>
          <w:sz w:val="24"/>
        </w:rPr>
        <w:t>Tento materiál nosnej konštrukcie prevládal najmä v okrese Galanta (7,5 % domov).</w:t>
      </w:r>
      <w:bookmarkEnd w:id="4"/>
      <w:r>
        <w:rPr>
          <w:sz w:val="24"/>
        </w:rPr>
        <w:t xml:space="preserve"> Z jednotlivých obcí v kraji nájdeme tri obce, kde bola približne tretina domov z nepálených tehál – obec Sobotište (32 % domov), obec </w:t>
      </w:r>
      <w:r>
        <w:rPr>
          <w:sz w:val="24"/>
        </w:rPr>
        <w:lastRenderedPageBreak/>
        <w:t xml:space="preserve">Prašník (34 % domov) a obec Podbranč (39 % domov). </w:t>
      </w:r>
      <w:bookmarkStart w:id="5" w:name="_Hlk99053903"/>
      <w:r>
        <w:rPr>
          <w:sz w:val="24"/>
        </w:rPr>
        <w:t xml:space="preserve">Tretím najčastejším materiálom nosnej konštrukcie v Trnavskom kraji bola kombinovaná konštrukcia (kameň a tehly) s podielom 3,8 % </w:t>
      </w:r>
      <w:bookmarkEnd w:id="5"/>
      <w:r>
        <w:rPr>
          <w:sz w:val="24"/>
        </w:rPr>
        <w:t xml:space="preserve">(5 770 domov) s maximom </w:t>
      </w:r>
      <w:bookmarkStart w:id="6" w:name="_Hlk99054022"/>
      <w:r>
        <w:rPr>
          <w:sz w:val="24"/>
        </w:rPr>
        <w:t xml:space="preserve">v okrese Galanta (7,5 %; </w:t>
      </w:r>
      <w:bookmarkEnd w:id="6"/>
      <w:r>
        <w:rPr>
          <w:sz w:val="24"/>
        </w:rPr>
        <w:t xml:space="preserve">2 068 domov). </w:t>
      </w:r>
    </w:p>
    <w:p w14:paraId="30793192" w14:textId="77777777" w:rsidR="00CD5015" w:rsidRDefault="00CD5015" w:rsidP="00BF49E6">
      <w:pPr>
        <w:jc w:val="both"/>
        <w:rPr>
          <w:sz w:val="24"/>
        </w:rPr>
      </w:pPr>
    </w:p>
    <w:p w14:paraId="02D31527" w14:textId="77777777" w:rsidR="00BF49E6" w:rsidRPr="00023836" w:rsidRDefault="00BF49E6" w:rsidP="00BF49E6">
      <w:pPr>
        <w:jc w:val="both"/>
        <w:rPr>
          <w:b/>
          <w:bCs/>
          <w:color w:val="365F91" w:themeColor="accent1" w:themeShade="BF"/>
          <w:sz w:val="24"/>
        </w:rPr>
      </w:pPr>
      <w:bookmarkStart w:id="7" w:name="_Hlk99054282"/>
      <w:r w:rsidRPr="00023836">
        <w:rPr>
          <w:b/>
          <w:bCs/>
          <w:color w:val="365F91" w:themeColor="accent1" w:themeShade="BF"/>
          <w:sz w:val="24"/>
        </w:rPr>
        <w:t>Druhý najnižší podiel domov bez vodovodnej prípojky</w:t>
      </w:r>
    </w:p>
    <w:p w14:paraId="76DF3C27" w14:textId="77777777" w:rsidR="00BF49E6" w:rsidRDefault="00BF49E6" w:rsidP="00BF49E6">
      <w:pPr>
        <w:jc w:val="both"/>
        <w:rPr>
          <w:sz w:val="24"/>
        </w:rPr>
      </w:pPr>
      <w:r>
        <w:rPr>
          <w:sz w:val="24"/>
        </w:rPr>
        <w:t>Na vodovodnú prípojku bolo pripojených celkovo 97,4 % domov. V Trnavskom kraji malo 142 696 domov prípojku v dome (92,8 %), z toho 117 133 v dome z verejnej siete a 25 563 v dome s vlastnou vodovodnou prípojkou. Prípojku mimo domu z verejnej siete mali 4 % domov (6 161). Bez vodovodnej prípojky bolo 2 051 domov, čo predstavuje 1,3 % z celkového počtu domov v kraji. Ide teda o kraj s druhým najnižším podielom domov bez vodovodnej prípojky.</w:t>
      </w:r>
      <w:bookmarkEnd w:id="7"/>
      <w:r>
        <w:rPr>
          <w:sz w:val="24"/>
        </w:rPr>
        <w:t xml:space="preserve"> Z pohľadu okresov </w:t>
      </w:r>
      <w:bookmarkStart w:id="8" w:name="_Hlk99054439"/>
      <w:r>
        <w:rPr>
          <w:sz w:val="24"/>
        </w:rPr>
        <w:t>bol najvyšší podiel domov bez vodovodnej prípojky v Senickom okrese (2,1 %; 395 domov), najnižší bol v okrese Trnava (0,9 %; 274 domov)</w:t>
      </w:r>
      <w:bookmarkEnd w:id="8"/>
      <w:r>
        <w:rPr>
          <w:sz w:val="24"/>
        </w:rPr>
        <w:t xml:space="preserve">. Iba v 2 obciach kraja bol podiel domov bez prípojky viac ako 10 % - v obci Bašovce z okresu Piešťany (12,1 %) a v obci Kuklov z okresu Senica (10,4 %).  </w:t>
      </w:r>
    </w:p>
    <w:p w14:paraId="32CB764B" w14:textId="77777777" w:rsidR="00CD5015" w:rsidRDefault="00CD5015" w:rsidP="00BF49E6">
      <w:pPr>
        <w:jc w:val="both"/>
        <w:rPr>
          <w:b/>
          <w:bCs/>
          <w:color w:val="365F91" w:themeColor="accent1" w:themeShade="BF"/>
          <w:sz w:val="24"/>
        </w:rPr>
      </w:pPr>
      <w:bookmarkStart w:id="9" w:name="_Hlk99054616"/>
    </w:p>
    <w:p w14:paraId="6D138CD8" w14:textId="346F743F" w:rsidR="00BF49E6" w:rsidRPr="00023836" w:rsidRDefault="00BF49E6" w:rsidP="00BF49E6">
      <w:pPr>
        <w:jc w:val="both"/>
        <w:rPr>
          <w:b/>
          <w:bCs/>
          <w:color w:val="365F91" w:themeColor="accent1" w:themeShade="BF"/>
          <w:sz w:val="24"/>
        </w:rPr>
      </w:pPr>
      <w:r w:rsidRPr="00023836">
        <w:rPr>
          <w:b/>
          <w:bCs/>
          <w:color w:val="365F91" w:themeColor="accent1" w:themeShade="BF"/>
          <w:sz w:val="24"/>
        </w:rPr>
        <w:t xml:space="preserve">Vodovod ako samozrejmosť </w:t>
      </w:r>
    </w:p>
    <w:p w14:paraId="220F21CC" w14:textId="0B1159B7" w:rsidR="00BF49E6" w:rsidRDefault="00BF49E6" w:rsidP="00BF49E6">
      <w:pPr>
        <w:jc w:val="both"/>
        <w:rPr>
          <w:sz w:val="24"/>
        </w:rPr>
      </w:pPr>
      <w:r>
        <w:rPr>
          <w:sz w:val="24"/>
        </w:rPr>
        <w:t>Vybavenosť bytu vodovodom je aj v Trnavskom kraji štandardom. Vodovod v byte sa nachádzal v 97,5 % bytov (236 397). Z celkového počtu bytov s vodovodom (236 397) malo vodovod zo spoločného zdroja 206 075 bytov. Ostatné byty mali síce vodovod priamo v byte, ale z vlastného zdroja.</w:t>
      </w:r>
      <w:bookmarkEnd w:id="9"/>
      <w:r>
        <w:rPr>
          <w:sz w:val="24"/>
        </w:rPr>
        <w:t xml:space="preserve"> Bez vodovodu bolo 0,8 % bytov (1 938). Nie všetky byty, ktoré boli vybavené vodovodom, boli vybavené aj splachovacím záchodom. V rámci Trnavského kraja mal okres Trnava najvyšší počet a podiel bytov s vodovodom priamo v byte (55 251 bytov; 23,4 % všetkých bytov s vodovodom priamo v byte v Trnavskom kraji). Napríklad v obci Tekolďany mali všetky byty napojené na vodovod zásobovanie vodou riešené vodovodom v byte zo spoločného zdroja. </w:t>
      </w:r>
    </w:p>
    <w:p w14:paraId="33AB82D2" w14:textId="77777777" w:rsidR="00CD5015" w:rsidRDefault="00CD5015" w:rsidP="00BF49E6">
      <w:pPr>
        <w:jc w:val="both"/>
        <w:rPr>
          <w:sz w:val="24"/>
        </w:rPr>
      </w:pPr>
    </w:p>
    <w:p w14:paraId="3990552B" w14:textId="6339B1C9" w:rsidR="00BF49E6" w:rsidRPr="00023836" w:rsidRDefault="00CD5015" w:rsidP="00BF49E6">
      <w:pPr>
        <w:jc w:val="both"/>
        <w:rPr>
          <w:b/>
          <w:bCs/>
          <w:color w:val="365F91" w:themeColor="accent1" w:themeShade="BF"/>
          <w:sz w:val="24"/>
        </w:rPr>
      </w:pPr>
      <w:r>
        <w:rPr>
          <w:b/>
          <w:bCs/>
          <w:color w:val="365F91" w:themeColor="accent1" w:themeShade="BF"/>
          <w:sz w:val="24"/>
        </w:rPr>
        <w:t>Veľa d</w:t>
      </w:r>
      <w:r w:rsidR="00BF49E6" w:rsidRPr="00023836">
        <w:rPr>
          <w:b/>
          <w:bCs/>
          <w:color w:val="365F91" w:themeColor="accent1" w:themeShade="BF"/>
          <w:sz w:val="24"/>
        </w:rPr>
        <w:t>om</w:t>
      </w:r>
      <w:r w:rsidR="00194598">
        <w:rPr>
          <w:b/>
          <w:bCs/>
          <w:color w:val="365F91" w:themeColor="accent1" w:themeShade="BF"/>
          <w:sz w:val="24"/>
        </w:rPr>
        <w:t>ov</w:t>
      </w:r>
      <w:r w:rsidR="00BF49E6" w:rsidRPr="00023836">
        <w:rPr>
          <w:b/>
          <w:bCs/>
          <w:color w:val="365F91" w:themeColor="accent1" w:themeShade="BF"/>
          <w:sz w:val="24"/>
        </w:rPr>
        <w:t xml:space="preserve"> bez kanalizácie</w:t>
      </w:r>
    </w:p>
    <w:p w14:paraId="71202617" w14:textId="37666208" w:rsidR="00BF49E6" w:rsidRDefault="00BF49E6" w:rsidP="00BF49E6">
      <w:pPr>
        <w:jc w:val="both"/>
        <w:rPr>
          <w:sz w:val="24"/>
        </w:rPr>
      </w:pPr>
      <w:r>
        <w:rPr>
          <w:sz w:val="24"/>
        </w:rPr>
        <w:t xml:space="preserve">Viac ako polovica všetkých domov v Trnavskom kraji malo pripojenie na kanalizačnú sieť (90 161), čo predstavuje 58,7 %. Septik alebo žumpu malo 55 606 domov (36,2 %), domácu čističku odpadových vôd 1 610 domov (1,1 %). </w:t>
      </w:r>
      <w:bookmarkStart w:id="10" w:name="_Hlk99054706"/>
      <w:r>
        <w:rPr>
          <w:sz w:val="24"/>
        </w:rPr>
        <w:t>V Trnavskom kraji bolo 3,1 % (4 748) domov bez kanalizácie, čo je druhý najnižší podiel domov spomedzi všetkých krajov v SR.</w:t>
      </w:r>
      <w:bookmarkEnd w:id="10"/>
      <w:r>
        <w:rPr>
          <w:sz w:val="24"/>
        </w:rPr>
        <w:t xml:space="preserve"> </w:t>
      </w:r>
      <w:bookmarkStart w:id="11" w:name="_Hlk99054782"/>
      <w:r>
        <w:rPr>
          <w:sz w:val="24"/>
        </w:rPr>
        <w:t>Z okresov v Trnavskom kraji bolo najmenej domov bez kanalizácie v okrese Dunajská Streda (1,9 %; 722 domov), naopak</w:t>
      </w:r>
      <w:r w:rsidR="00194598">
        <w:rPr>
          <w:sz w:val="24"/>
        </w:rPr>
        <w:t>,</w:t>
      </w:r>
      <w:r>
        <w:rPr>
          <w:sz w:val="24"/>
        </w:rPr>
        <w:t xml:space="preserve"> najvyšší podiel aj počet bol v okrese Senica (5,5 %; 1 024 domov). V obci Prašník z okresu Piešťany bola vyše pätina domov bez kanalizácie (91 domov z celkového počtu 415, t. j. 21,9 %). </w:t>
      </w:r>
    </w:p>
    <w:p w14:paraId="6B688C33" w14:textId="77777777" w:rsidR="00CD5015" w:rsidRDefault="00CD5015" w:rsidP="00BF49E6">
      <w:pPr>
        <w:jc w:val="both"/>
        <w:rPr>
          <w:b/>
          <w:bCs/>
          <w:color w:val="365F91" w:themeColor="accent1" w:themeShade="BF"/>
          <w:sz w:val="24"/>
        </w:rPr>
      </w:pPr>
    </w:p>
    <w:p w14:paraId="79622787" w14:textId="06DD1B2F" w:rsidR="00BF49E6" w:rsidRPr="00023836" w:rsidRDefault="00BF49E6" w:rsidP="00BF49E6">
      <w:pPr>
        <w:jc w:val="both"/>
        <w:rPr>
          <w:b/>
          <w:bCs/>
          <w:color w:val="365F91" w:themeColor="accent1" w:themeShade="BF"/>
          <w:sz w:val="24"/>
        </w:rPr>
      </w:pPr>
      <w:r w:rsidRPr="00023836">
        <w:rPr>
          <w:b/>
          <w:bCs/>
          <w:color w:val="365F91" w:themeColor="accent1" w:themeShade="BF"/>
          <w:sz w:val="24"/>
        </w:rPr>
        <w:t>Najvyšší podiel domov s plynovou prípojkou</w:t>
      </w:r>
    </w:p>
    <w:bookmarkEnd w:id="11"/>
    <w:p w14:paraId="45936AE4" w14:textId="64899EE8" w:rsidR="00BF49E6" w:rsidRDefault="00BF49E6" w:rsidP="00BF49E6">
      <w:pPr>
        <w:jc w:val="both"/>
        <w:rPr>
          <w:sz w:val="24"/>
        </w:rPr>
      </w:pPr>
      <w:r>
        <w:rPr>
          <w:sz w:val="24"/>
        </w:rPr>
        <w:t xml:space="preserve">Pripojenie k plynovej prípojke v Trnavskom kraji malo 81,4 % domov (125 190), bez pripojenia bolo 17,5 % (26 945) domov. </w:t>
      </w:r>
      <w:r w:rsidR="00194598">
        <w:rPr>
          <w:sz w:val="24"/>
        </w:rPr>
        <w:t>Pri</w:t>
      </w:r>
      <w:r>
        <w:rPr>
          <w:sz w:val="24"/>
        </w:rPr>
        <w:t> 1 % domov (1 584) táto informácia nebola zistená</w:t>
      </w:r>
      <w:r w:rsidRPr="008853BA">
        <w:rPr>
          <w:sz w:val="24"/>
        </w:rPr>
        <w:t xml:space="preserve">. </w:t>
      </w:r>
      <w:bookmarkStart w:id="12" w:name="_Hlk99054855"/>
      <w:r w:rsidRPr="008853BA">
        <w:rPr>
          <w:sz w:val="24"/>
        </w:rPr>
        <w:t>Pri porovnaní s ostatnými krajmi bol práve v Trnavskom kraji najvyšší podiel domov s plynovou prípojkou z celkového počtu domov v kraji.</w:t>
      </w:r>
      <w:r>
        <w:rPr>
          <w:sz w:val="24"/>
        </w:rPr>
        <w:t xml:space="preserve"> Zároveň aj vo všetkých okreso</w:t>
      </w:r>
      <w:r w:rsidR="00194598">
        <w:rPr>
          <w:sz w:val="24"/>
        </w:rPr>
        <w:t>ch</w:t>
      </w:r>
      <w:r>
        <w:rPr>
          <w:sz w:val="24"/>
        </w:rPr>
        <w:t xml:space="preserve"> Trnavského kraja bolo pripojenie k plynu nad hranicou 70 % a pohybuje sa v intervale od 73,5 % domov v okrese Dunajská Streda </w:t>
      </w:r>
      <w:r>
        <w:rPr>
          <w:sz w:val="24"/>
        </w:rPr>
        <w:lastRenderedPageBreak/>
        <w:t xml:space="preserve">až po 87,8 % domov v okrese Trnava. V obci Horné Trhovište malo plynovú prípojku až 98,2 % domov, čo je najviac v celom Trnavskom kraji. </w:t>
      </w:r>
    </w:p>
    <w:bookmarkEnd w:id="12"/>
    <w:p w14:paraId="77AC578C" w14:textId="77777777" w:rsidR="00CD5015" w:rsidRDefault="00CD5015" w:rsidP="00BF49E6">
      <w:pPr>
        <w:jc w:val="both"/>
        <w:rPr>
          <w:b/>
          <w:bCs/>
          <w:color w:val="365F91" w:themeColor="accent1" w:themeShade="BF"/>
          <w:sz w:val="24"/>
        </w:rPr>
      </w:pPr>
    </w:p>
    <w:p w14:paraId="4378889E" w14:textId="1A747552" w:rsidR="00BF49E6" w:rsidRPr="00023836" w:rsidRDefault="00BF49E6" w:rsidP="00BF49E6">
      <w:pPr>
        <w:jc w:val="both"/>
        <w:rPr>
          <w:b/>
          <w:bCs/>
          <w:color w:val="365F91" w:themeColor="accent1" w:themeShade="BF"/>
          <w:sz w:val="24"/>
        </w:rPr>
      </w:pPr>
      <w:r w:rsidRPr="00023836">
        <w:rPr>
          <w:b/>
          <w:bCs/>
          <w:color w:val="365F91" w:themeColor="accent1" w:themeShade="BF"/>
          <w:sz w:val="24"/>
        </w:rPr>
        <w:t>Lokálne ústredné kúrenie – slovenská r</w:t>
      </w:r>
      <w:r w:rsidR="00CD5015">
        <w:rPr>
          <w:b/>
          <w:bCs/>
          <w:color w:val="365F91" w:themeColor="accent1" w:themeShade="BF"/>
          <w:sz w:val="24"/>
        </w:rPr>
        <w:t>a</w:t>
      </w:r>
      <w:r w:rsidRPr="00023836">
        <w:rPr>
          <w:b/>
          <w:bCs/>
          <w:color w:val="365F91" w:themeColor="accent1" w:themeShade="BF"/>
          <w:sz w:val="24"/>
        </w:rPr>
        <w:t>rita</w:t>
      </w:r>
    </w:p>
    <w:p w14:paraId="021DDC6F" w14:textId="3763BC04" w:rsidR="00BF49E6" w:rsidRDefault="00BF49E6" w:rsidP="00BF49E6">
      <w:pPr>
        <w:jc w:val="both"/>
        <w:rPr>
          <w:sz w:val="24"/>
        </w:rPr>
      </w:pPr>
      <w:r>
        <w:rPr>
          <w:sz w:val="24"/>
        </w:rPr>
        <w:t xml:space="preserve">Najčastejším spôsobom vykurovania bytov v Trnavskom kraji bolo </w:t>
      </w:r>
      <w:bookmarkStart w:id="13" w:name="_Hlk99054961"/>
      <w:r>
        <w:rPr>
          <w:sz w:val="24"/>
        </w:rPr>
        <w:t>ústredné kúrenie lokálne (51,2 %; 124 092 bytov)</w:t>
      </w:r>
      <w:bookmarkEnd w:id="13"/>
      <w:r>
        <w:rPr>
          <w:sz w:val="24"/>
        </w:rPr>
        <w:t xml:space="preserve">. </w:t>
      </w:r>
      <w:bookmarkStart w:id="14" w:name="_Hlk99054924"/>
      <w:r>
        <w:rPr>
          <w:sz w:val="24"/>
        </w:rPr>
        <w:t>V tomto kraji bola takýmto spôsobom vykurovaná viac ako polovica bytov z celkového počtu bytov v kraji</w:t>
      </w:r>
      <w:bookmarkEnd w:id="14"/>
      <w:r>
        <w:rPr>
          <w:sz w:val="24"/>
        </w:rPr>
        <w:t xml:space="preserve">, </w:t>
      </w:r>
      <w:bookmarkStart w:id="15" w:name="_Hlk99055004"/>
      <w:r>
        <w:rPr>
          <w:sz w:val="24"/>
        </w:rPr>
        <w:t>čím sa Trnavský kraj stal jediným krajom SR s takýmto podielom.</w:t>
      </w:r>
      <w:bookmarkEnd w:id="15"/>
      <w:r>
        <w:rPr>
          <w:sz w:val="24"/>
        </w:rPr>
        <w:t xml:space="preserve"> Bez kúrenia bolo 1 420 bytov (0,6 %). Lokálne ústredné kúrenie prevládalo vo všetkých okresoch Trnavského kraja. </w:t>
      </w:r>
      <w:r w:rsidRPr="00FB4C20">
        <w:rPr>
          <w:sz w:val="24"/>
        </w:rPr>
        <w:t xml:space="preserve">Najvyšší podiel </w:t>
      </w:r>
      <w:r>
        <w:rPr>
          <w:sz w:val="24"/>
        </w:rPr>
        <w:t xml:space="preserve">bol v okrese Dunajská Streda (57 % všetkých bytov v okrese Dunajská Streda; 31 589 bytov), najnižší v okrese Skalica (41,1 % všetkých bytov v okrese Skalica; 7 734 bytov),  </w:t>
      </w:r>
    </w:p>
    <w:p w14:paraId="0830C4C4" w14:textId="77777777" w:rsidR="00CD5015" w:rsidRDefault="00CD5015" w:rsidP="00BF49E6">
      <w:pPr>
        <w:jc w:val="both"/>
        <w:rPr>
          <w:sz w:val="24"/>
        </w:rPr>
      </w:pPr>
    </w:p>
    <w:p w14:paraId="4E9E494B" w14:textId="77777777" w:rsidR="00BF49E6" w:rsidRPr="00023836" w:rsidRDefault="00BF49E6" w:rsidP="00BF49E6">
      <w:pPr>
        <w:jc w:val="both"/>
        <w:rPr>
          <w:b/>
          <w:bCs/>
          <w:color w:val="365F91" w:themeColor="accent1" w:themeShade="BF"/>
          <w:sz w:val="24"/>
        </w:rPr>
      </w:pPr>
      <w:r w:rsidRPr="00023836">
        <w:rPr>
          <w:b/>
          <w:bCs/>
          <w:color w:val="365F91" w:themeColor="accent1" w:themeShade="BF"/>
          <w:sz w:val="24"/>
        </w:rPr>
        <w:t>Najvyšší podiel obnoviteľných zdrojov energie použitých na vykurovanie</w:t>
      </w:r>
    </w:p>
    <w:p w14:paraId="296E9A37" w14:textId="77777777" w:rsidR="00BF49E6" w:rsidRDefault="00BF49E6" w:rsidP="00BF49E6">
      <w:pPr>
        <w:jc w:val="both"/>
        <w:rPr>
          <w:sz w:val="24"/>
        </w:rPr>
      </w:pPr>
      <w:r>
        <w:rPr>
          <w:sz w:val="24"/>
        </w:rPr>
        <w:t xml:space="preserve">Prevládajúcim zdrojom energie na vykurovanie bol plyn (69,8 %; 169 154 bytov). </w:t>
      </w:r>
      <w:bookmarkStart w:id="16" w:name="_Hlk99055091"/>
      <w:r>
        <w:rPr>
          <w:sz w:val="24"/>
        </w:rPr>
        <w:t>Trnavský kraj môžeme považovať za dobrý príklad toho, ako sa dajú vo vyššej miere využiť obnoviteľné zdroje energie na vykurovanie bytov. So svojimi 27,5 % mal Trnavský kraj v rámci SR najvyšší podiel obnoviteľných zdrojov energie použitých na vykurovanie.</w:t>
      </w:r>
      <w:bookmarkEnd w:id="16"/>
      <w:r>
        <w:rPr>
          <w:sz w:val="24"/>
        </w:rPr>
        <w:t xml:space="preserve"> Takýmto spôsobom sa vykurovalo 33 348 bytov v Trnavskom kraji. Z toho viac ako polovica bytov sa nachádzala v okrese Trnava (20 572 bytov). Na vykurovanie sa využíva najmä energia biomasy, keďže v Zelenči sa nachádza bioplynová stanica, ktorá zabezpečuje energetické zhodnotenie biologicky rozložiteľného odpadu v Trnave a okolí. Ďalej sa vo veľkom využívajú tepelné čerpadlá, ktoré sa používajú na vykurovanie administratívnych a štátnych budov. Takýmto spôsobom bolo v Trnave vykurovaných 19 735 bytov (67,4 %), v Jaslovských Bohuniciach 582 bytov (66,4 %) a Hlohovci 4 254 bytov (46,5 %). </w:t>
      </w:r>
      <w:r w:rsidRPr="00FB4C20">
        <w:rPr>
          <w:sz w:val="24"/>
        </w:rPr>
        <w:t>Vo všetkých okresoch Trnavského kraja bola viac ako polovica bytov vykurovaná plynom</w:t>
      </w:r>
      <w:r>
        <w:rPr>
          <w:sz w:val="24"/>
        </w:rPr>
        <w:t xml:space="preserve">. V 8 obciach Trnavského kraja (3,2 % obcí Trnavského kraja) žiadny byt nepoužíval na kúrenie plyn, byty tu boli najčastejšie vykurované pevným palivom alebo elektrinou. </w:t>
      </w:r>
    </w:p>
    <w:p w14:paraId="131F03E7" w14:textId="77777777" w:rsidR="00BF49E6" w:rsidRDefault="00BF49E6" w:rsidP="00BF49E6">
      <w:pPr>
        <w:jc w:val="both"/>
        <w:rPr>
          <w:sz w:val="24"/>
        </w:rPr>
      </w:pPr>
      <w:bookmarkStart w:id="17" w:name="_Hlk99055480"/>
    </w:p>
    <w:p w14:paraId="27E5792E" w14:textId="65161BFD" w:rsidR="00BF49E6" w:rsidRPr="00023836" w:rsidRDefault="00BF49E6" w:rsidP="00BF49E6">
      <w:pPr>
        <w:jc w:val="both"/>
        <w:rPr>
          <w:b/>
          <w:bCs/>
          <w:sz w:val="24"/>
        </w:rPr>
      </w:pPr>
      <w:r w:rsidRPr="00023836">
        <w:rPr>
          <w:b/>
          <w:bCs/>
          <w:color w:val="365F91" w:themeColor="accent1" w:themeShade="BF"/>
          <w:sz w:val="24"/>
        </w:rPr>
        <w:t>Kvalita bývania v okresoch Trnavského kraja</w:t>
      </w:r>
    </w:p>
    <w:p w14:paraId="29669F65" w14:textId="19DE719F" w:rsidR="00BF49E6" w:rsidRDefault="00BF49E6" w:rsidP="00BF49E6">
      <w:pPr>
        <w:jc w:val="both"/>
        <w:rPr>
          <w:sz w:val="24"/>
        </w:rPr>
      </w:pPr>
      <w:r w:rsidRPr="00E77935">
        <w:rPr>
          <w:sz w:val="24"/>
        </w:rPr>
        <w:t>Z pohľadu kvality vybavenosti domov v</w:t>
      </w:r>
      <w:r>
        <w:rPr>
          <w:sz w:val="24"/>
        </w:rPr>
        <w:t> Trnavskom kraji</w:t>
      </w:r>
      <w:r w:rsidRPr="00E77935">
        <w:rPr>
          <w:sz w:val="24"/>
        </w:rPr>
        <w:t xml:space="preserve"> sa v okrese </w:t>
      </w:r>
      <w:r>
        <w:rPr>
          <w:sz w:val="24"/>
        </w:rPr>
        <w:t>Galanta</w:t>
      </w:r>
      <w:r w:rsidRPr="00E77935">
        <w:rPr>
          <w:sz w:val="24"/>
        </w:rPr>
        <w:t xml:space="preserve"> nachádzal najvyšší počet domov bez vodovodnej prípojky (</w:t>
      </w:r>
      <w:r>
        <w:rPr>
          <w:sz w:val="24"/>
        </w:rPr>
        <w:t xml:space="preserve">423 </w:t>
      </w:r>
      <w:r w:rsidRPr="00E77935">
        <w:rPr>
          <w:sz w:val="24"/>
        </w:rPr>
        <w:t>domov)</w:t>
      </w:r>
      <w:r>
        <w:rPr>
          <w:sz w:val="24"/>
        </w:rPr>
        <w:t xml:space="preserve">. </w:t>
      </w:r>
      <w:bookmarkStart w:id="18" w:name="_Hlk99055371"/>
      <w:bookmarkEnd w:id="17"/>
      <w:r>
        <w:rPr>
          <w:sz w:val="24"/>
        </w:rPr>
        <w:t xml:space="preserve">V okrese Senica bol </w:t>
      </w:r>
      <w:r w:rsidRPr="00E77935">
        <w:rPr>
          <w:sz w:val="24"/>
        </w:rPr>
        <w:t>najvyšší počet domov bez</w:t>
      </w:r>
      <w:r>
        <w:rPr>
          <w:sz w:val="24"/>
        </w:rPr>
        <w:t xml:space="preserve"> kanalizácie (1 024 domov),  bez vodovodnej prípojky</w:t>
      </w:r>
      <w:r w:rsidRPr="00E77935">
        <w:rPr>
          <w:sz w:val="24"/>
        </w:rPr>
        <w:t xml:space="preserve"> </w:t>
      </w:r>
      <w:r>
        <w:rPr>
          <w:sz w:val="24"/>
        </w:rPr>
        <w:t>(2,1</w:t>
      </w:r>
      <w:r w:rsidRPr="00E77935">
        <w:rPr>
          <w:sz w:val="24"/>
        </w:rPr>
        <w:t xml:space="preserve"> % z celkového počtu domov v okrese; </w:t>
      </w:r>
      <w:r>
        <w:rPr>
          <w:sz w:val="24"/>
        </w:rPr>
        <w:t xml:space="preserve">395 domov) a bez kanalizácie (5,5 % </w:t>
      </w:r>
      <w:r w:rsidRPr="00E77935">
        <w:rPr>
          <w:sz w:val="24"/>
        </w:rPr>
        <w:t>z celkového počtu domov v</w:t>
      </w:r>
      <w:r>
        <w:rPr>
          <w:sz w:val="24"/>
        </w:rPr>
        <w:t> </w:t>
      </w:r>
      <w:r w:rsidRPr="00E77935">
        <w:rPr>
          <w:sz w:val="24"/>
        </w:rPr>
        <w:t>okrese</w:t>
      </w:r>
      <w:r>
        <w:rPr>
          <w:sz w:val="24"/>
        </w:rPr>
        <w:t xml:space="preserve">; 1 024 domov) </w:t>
      </w:r>
      <w:r w:rsidRPr="00E77935">
        <w:rPr>
          <w:sz w:val="24"/>
        </w:rPr>
        <w:t xml:space="preserve">v rámci </w:t>
      </w:r>
      <w:r>
        <w:rPr>
          <w:sz w:val="24"/>
        </w:rPr>
        <w:t xml:space="preserve">okresov Trnavského kraja.  </w:t>
      </w:r>
      <w:bookmarkStart w:id="19" w:name="_Hlk99055652"/>
      <w:bookmarkEnd w:id="18"/>
      <w:r w:rsidRPr="00E77935">
        <w:rPr>
          <w:sz w:val="24"/>
        </w:rPr>
        <w:t>Z pohľadu kvality vybavenosti bytov v </w:t>
      </w:r>
      <w:r>
        <w:rPr>
          <w:sz w:val="24"/>
        </w:rPr>
        <w:t>Trnavskom</w:t>
      </w:r>
      <w:r w:rsidRPr="00E77935">
        <w:rPr>
          <w:sz w:val="24"/>
        </w:rPr>
        <w:t xml:space="preserve"> kraji sa v okrese </w:t>
      </w:r>
      <w:r>
        <w:rPr>
          <w:sz w:val="24"/>
        </w:rPr>
        <w:t>Galanta</w:t>
      </w:r>
      <w:r w:rsidRPr="00E77935">
        <w:rPr>
          <w:sz w:val="24"/>
        </w:rPr>
        <w:t xml:space="preserve"> nachádzal najvyšší počet</w:t>
      </w:r>
      <w:r>
        <w:rPr>
          <w:sz w:val="24"/>
        </w:rPr>
        <w:t xml:space="preserve"> bytov</w:t>
      </w:r>
      <w:r w:rsidRPr="00E77935">
        <w:rPr>
          <w:sz w:val="24"/>
        </w:rPr>
        <w:t xml:space="preserve"> bez vodovodu</w:t>
      </w:r>
      <w:r>
        <w:rPr>
          <w:sz w:val="24"/>
        </w:rPr>
        <w:t xml:space="preserve"> </w:t>
      </w:r>
      <w:r w:rsidRPr="00E77935">
        <w:rPr>
          <w:sz w:val="24"/>
        </w:rPr>
        <w:t>(</w:t>
      </w:r>
      <w:r>
        <w:rPr>
          <w:sz w:val="24"/>
        </w:rPr>
        <w:t>416</w:t>
      </w:r>
      <w:r w:rsidRPr="00E77935">
        <w:rPr>
          <w:sz w:val="24"/>
        </w:rPr>
        <w:t xml:space="preserve"> bytov)</w:t>
      </w:r>
      <w:r>
        <w:rPr>
          <w:sz w:val="24"/>
        </w:rPr>
        <w:t xml:space="preserve"> a bez kúrenia (648 bytov).</w:t>
      </w:r>
      <w:r w:rsidRPr="00E77935">
        <w:rPr>
          <w:sz w:val="24"/>
        </w:rPr>
        <w:t xml:space="preserve"> </w:t>
      </w:r>
      <w:r>
        <w:rPr>
          <w:sz w:val="24"/>
        </w:rPr>
        <w:t>O</w:t>
      </w:r>
      <w:r w:rsidRPr="00E77935">
        <w:rPr>
          <w:sz w:val="24"/>
        </w:rPr>
        <w:t xml:space="preserve">kres </w:t>
      </w:r>
      <w:r>
        <w:rPr>
          <w:sz w:val="24"/>
        </w:rPr>
        <w:t>Senica</w:t>
      </w:r>
      <w:r w:rsidRPr="00E77935">
        <w:rPr>
          <w:sz w:val="24"/>
        </w:rPr>
        <w:t xml:space="preserve"> mal najvyšší podiel </w:t>
      </w:r>
      <w:r>
        <w:rPr>
          <w:sz w:val="24"/>
        </w:rPr>
        <w:t xml:space="preserve">bytov bez vodovodu (1,5 % </w:t>
      </w:r>
      <w:r w:rsidRPr="00E77935">
        <w:rPr>
          <w:sz w:val="24"/>
        </w:rPr>
        <w:t xml:space="preserve">z celkového počtu </w:t>
      </w:r>
      <w:r>
        <w:rPr>
          <w:sz w:val="24"/>
        </w:rPr>
        <w:t>bytov</w:t>
      </w:r>
      <w:r w:rsidRPr="00E77935">
        <w:rPr>
          <w:sz w:val="24"/>
        </w:rPr>
        <w:t xml:space="preserve"> v</w:t>
      </w:r>
      <w:r>
        <w:rPr>
          <w:sz w:val="24"/>
        </w:rPr>
        <w:t> </w:t>
      </w:r>
      <w:r w:rsidRPr="00E77935">
        <w:rPr>
          <w:sz w:val="24"/>
        </w:rPr>
        <w:t>okrese</w:t>
      </w:r>
      <w:r>
        <w:rPr>
          <w:sz w:val="24"/>
        </w:rPr>
        <w:t xml:space="preserve">; 385) </w:t>
      </w:r>
      <w:r w:rsidRPr="00E77935">
        <w:rPr>
          <w:sz w:val="24"/>
        </w:rPr>
        <w:t xml:space="preserve">v rámci </w:t>
      </w:r>
      <w:r>
        <w:rPr>
          <w:sz w:val="24"/>
        </w:rPr>
        <w:t xml:space="preserve">okresov Trnavského kraja, ďalej najvyšší počet a podiel bytov </w:t>
      </w:r>
      <w:r w:rsidRPr="00E77935">
        <w:rPr>
          <w:sz w:val="24"/>
        </w:rPr>
        <w:t>bez splachovacieho záchodu (</w:t>
      </w:r>
      <w:r>
        <w:rPr>
          <w:sz w:val="24"/>
        </w:rPr>
        <w:t>3,2</w:t>
      </w:r>
      <w:r w:rsidRPr="00E77935">
        <w:rPr>
          <w:sz w:val="24"/>
        </w:rPr>
        <w:t xml:space="preserve"> % z celkového počtu bytov v okrese;</w:t>
      </w:r>
      <w:r>
        <w:rPr>
          <w:sz w:val="24"/>
        </w:rPr>
        <w:t xml:space="preserve"> 829</w:t>
      </w:r>
      <w:r w:rsidRPr="00E77935">
        <w:rPr>
          <w:sz w:val="24"/>
        </w:rPr>
        <w:t xml:space="preserve"> bytov)</w:t>
      </w:r>
      <w:r>
        <w:rPr>
          <w:sz w:val="24"/>
        </w:rPr>
        <w:t xml:space="preserve"> a </w:t>
      </w:r>
      <w:r w:rsidRPr="00E77935">
        <w:rPr>
          <w:sz w:val="24"/>
        </w:rPr>
        <w:t xml:space="preserve"> bez kúpeľne </w:t>
      </w:r>
      <w:r>
        <w:rPr>
          <w:sz w:val="24"/>
        </w:rPr>
        <w:t>(3,7</w:t>
      </w:r>
      <w:r w:rsidRPr="00E77935">
        <w:rPr>
          <w:sz w:val="24"/>
        </w:rPr>
        <w:t xml:space="preserve"> % z celkového počtu bytov v okrese</w:t>
      </w:r>
      <w:r>
        <w:rPr>
          <w:sz w:val="24"/>
        </w:rPr>
        <w:t>; 971</w:t>
      </w:r>
      <w:r w:rsidRPr="00E77935">
        <w:rPr>
          <w:sz w:val="24"/>
        </w:rPr>
        <w:t xml:space="preserve"> bytov)</w:t>
      </w:r>
      <w:r>
        <w:rPr>
          <w:sz w:val="24"/>
        </w:rPr>
        <w:t xml:space="preserve">. </w:t>
      </w:r>
    </w:p>
    <w:bookmarkEnd w:id="19"/>
    <w:p w14:paraId="3C4484EB" w14:textId="6481F521" w:rsidR="003A519A" w:rsidRDefault="003A519A" w:rsidP="007026BD">
      <w:pPr>
        <w:rPr>
          <w:i/>
          <w:iCs/>
          <w:color w:val="365F91" w:themeColor="accent1" w:themeShade="BF"/>
          <w:sz w:val="24"/>
          <w:szCs w:val="24"/>
        </w:rPr>
      </w:pPr>
    </w:p>
    <w:p w14:paraId="68A5F1EA" w14:textId="413E92AC" w:rsidR="00170162" w:rsidRDefault="00170162" w:rsidP="007026BD">
      <w:pPr>
        <w:rPr>
          <w:i/>
          <w:iCs/>
          <w:color w:val="365F91" w:themeColor="accent1" w:themeShade="BF"/>
          <w:sz w:val="24"/>
          <w:szCs w:val="24"/>
        </w:rPr>
      </w:pPr>
    </w:p>
    <w:p w14:paraId="188DA335" w14:textId="0CBAF01D" w:rsidR="00170162" w:rsidRDefault="00170162" w:rsidP="007026BD">
      <w:pPr>
        <w:rPr>
          <w:i/>
          <w:iCs/>
          <w:color w:val="365F91" w:themeColor="accent1" w:themeShade="BF"/>
          <w:sz w:val="24"/>
          <w:szCs w:val="24"/>
        </w:rPr>
      </w:pPr>
    </w:p>
    <w:sectPr w:rsidR="00170162">
      <w:headerReference w:type="default" r:id="rId8"/>
      <w:footerReference w:type="default" r:id="rId9"/>
      <w:pgSz w:w="11906" w:h="16838"/>
      <w:pgMar w:top="2120" w:right="1360" w:bottom="1540" w:left="1680" w:header="1067" w:footer="1341" w:gutter="0"/>
      <w:cols w:space="708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73B86" w14:textId="77777777" w:rsidR="00A931B8" w:rsidRDefault="00A931B8">
      <w:r>
        <w:separator/>
      </w:r>
    </w:p>
  </w:endnote>
  <w:endnote w:type="continuationSeparator" w:id="0">
    <w:p w14:paraId="119417F0" w14:textId="77777777" w:rsidR="00A931B8" w:rsidRDefault="00A9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1320999"/>
      <w:docPartObj>
        <w:docPartGallery w:val="Page Numbers (Bottom of Page)"/>
        <w:docPartUnique/>
      </w:docPartObj>
    </w:sdtPr>
    <w:sdtEndPr/>
    <w:sdtContent>
      <w:p w14:paraId="3C072F58" w14:textId="51C99D4F" w:rsidR="006B36B4" w:rsidRDefault="006B36B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E241BF" w14:textId="05AC3F5B" w:rsidR="00752B93" w:rsidRDefault="00752B93">
    <w:pPr>
      <w:pStyle w:val="Zkladntext"/>
      <w:spacing w:line="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CF029" w14:textId="77777777" w:rsidR="00A931B8" w:rsidRDefault="00A931B8">
      <w:r>
        <w:separator/>
      </w:r>
    </w:p>
  </w:footnote>
  <w:footnote w:type="continuationSeparator" w:id="0">
    <w:p w14:paraId="0BEEA466" w14:textId="77777777" w:rsidR="00A931B8" w:rsidRDefault="00A93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DFE63" w14:textId="77777777" w:rsidR="00752B93" w:rsidRDefault="005B6389">
    <w:pPr>
      <w:pStyle w:val="Zkladntext"/>
      <w:spacing w:line="4" w:lineRule="auto"/>
      <w:rPr>
        <w:sz w:val="20"/>
      </w:rPr>
    </w:pPr>
    <w:r>
      <w:rPr>
        <w:noProof/>
        <w:sz w:val="20"/>
        <w:lang w:eastAsia="sk-SK"/>
      </w:rPr>
      <mc:AlternateContent>
        <mc:Choice Requires="wpg">
          <w:drawing>
            <wp:anchor distT="0" distB="318" distL="113983" distR="113982" simplePos="0" relativeHeight="17" behindDoc="1" locked="0" layoutInCell="1" allowOverlap="1" wp14:anchorId="15021DFA" wp14:editId="198CB66E">
              <wp:simplePos x="0" y="0"/>
              <wp:positionH relativeFrom="page">
                <wp:posOffset>5640705</wp:posOffset>
              </wp:positionH>
              <wp:positionV relativeFrom="page">
                <wp:posOffset>553720</wp:posOffset>
              </wp:positionV>
              <wp:extent cx="11430" cy="625475"/>
              <wp:effectExtent l="6667" t="0" r="30798" b="11747"/>
              <wp:wrapNone/>
              <wp:docPr id="1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430" cy="625475"/>
                        <a:chOff x="0" y="0"/>
                        <a:chExt cx="11430" cy="625475"/>
                      </a:xfrm>
                    </wpg:grpSpPr>
                    <wps:wsp>
                      <wps:cNvPr id="2" name="Rovná spojnica 2"/>
                      <wps:cNvCnPr/>
                      <wps:spPr>
                        <a:xfrm>
                          <a:off x="0" y="0"/>
                          <a:ext cx="10800" cy="62496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D1D3D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3" name="Rovná spojnica 3"/>
                      <wps:cNvCnPr/>
                      <wps:spPr>
                        <a:xfrm>
                          <a:off x="0" y="0"/>
                          <a:ext cx="10800" cy="62496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0055A1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4" name="Rovná spojnica 4"/>
                      <wps:cNvCnPr/>
                      <wps:spPr>
                        <a:xfrm>
                          <a:off x="0" y="0"/>
                          <a:ext cx="10800" cy="62496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ED1C2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E2EAE14" id="Group 11" o:spid="_x0000_s1026" style="position:absolute;margin-left:444.15pt;margin-top:43.6pt;width:.9pt;height:49.25pt;z-index:-503316463;mso-wrap-distance-left:3.16619mm;mso-wrap-distance-right:3.16617mm;mso-wrap-distance-bottom:.00883mm;mso-position-horizontal-relative:page;mso-position-vertical-relative:page" coordsize="114,6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">
              <v:line id="Rovná spojnica 2" o:spid="_x0000_s1027" style="position:absolute;visibility:visible;mso-wrap-style:square" from="0,0" to="108,6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" strokecolor="#d1d3d4" strokeweight=".44mm"/>
              <v:line id="Rovná spojnica 3" o:spid="_x0000_s1028" style="position:absolute;visibility:visible;mso-wrap-style:square" from="0,0" to="108,6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" strokecolor="#0055a1" strokeweight=".44mm"/>
              <v:line id="Rovná spojnica 4" o:spid="_x0000_s1029" style="position:absolute;visibility:visible;mso-wrap-style:square" from="0,0" to="108,6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" strokecolor="#ed1c24" strokeweight=".44mm"/>
              <w10:wrap anchorx="page" anchory="page"/>
            </v:group>
          </w:pict>
        </mc:Fallback>
      </mc:AlternateContent>
    </w:r>
    <w:r>
      <w:rPr>
        <w:noProof/>
        <w:sz w:val="20"/>
        <w:lang w:eastAsia="sk-SK"/>
      </w:rPr>
      <w:drawing>
        <wp:anchor distT="0" distB="0" distL="0" distR="0" simplePos="0" relativeHeight="5" behindDoc="1" locked="0" layoutInCell="1" allowOverlap="1" wp14:anchorId="1E51CB49" wp14:editId="42F0743B">
          <wp:simplePos x="0" y="0"/>
          <wp:positionH relativeFrom="page">
            <wp:posOffset>5769610</wp:posOffset>
          </wp:positionH>
          <wp:positionV relativeFrom="page">
            <wp:posOffset>581025</wp:posOffset>
          </wp:positionV>
          <wp:extent cx="908050" cy="605790"/>
          <wp:effectExtent l="0" t="0" r="0" b="0"/>
          <wp:wrapNone/>
          <wp:docPr id="2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3E4E4CB" w14:textId="77777777" w:rsidR="00752B93" w:rsidRDefault="00752B93">
    <w:pPr>
      <w:pStyle w:val="Zkladntext"/>
      <w:spacing w:line="4" w:lineRule="auto"/>
      <w:rPr>
        <w:sz w:val="20"/>
      </w:rPr>
    </w:pPr>
  </w:p>
  <w:p w14:paraId="2F2A2EDE" w14:textId="77777777" w:rsidR="00752B93" w:rsidRDefault="00752B93">
    <w:pPr>
      <w:pStyle w:val="Zkladntext"/>
      <w:spacing w:line="4" w:lineRule="auto"/>
      <w:rPr>
        <w:sz w:val="20"/>
      </w:rPr>
    </w:pPr>
  </w:p>
  <w:p w14:paraId="0054BC84" w14:textId="77777777" w:rsidR="00752B93" w:rsidRDefault="00752B93">
    <w:pPr>
      <w:pStyle w:val="Zkladntext"/>
      <w:spacing w:line="4" w:lineRule="auto"/>
      <w:rPr>
        <w:sz w:val="20"/>
      </w:rPr>
    </w:pPr>
  </w:p>
  <w:p w14:paraId="4DD0BA77" w14:textId="77777777" w:rsidR="00752B93" w:rsidRDefault="00752B93">
    <w:pPr>
      <w:pStyle w:val="Zkladntext"/>
      <w:spacing w:line="4" w:lineRule="auto"/>
      <w:rPr>
        <w:sz w:val="20"/>
      </w:rPr>
    </w:pPr>
  </w:p>
  <w:p w14:paraId="5B8E4F02" w14:textId="77777777" w:rsidR="00752B93" w:rsidRDefault="00752B93">
    <w:pPr>
      <w:pStyle w:val="Zkladntext"/>
      <w:spacing w:line="4" w:lineRule="auto"/>
      <w:rPr>
        <w:sz w:val="20"/>
      </w:rPr>
    </w:pPr>
  </w:p>
  <w:p w14:paraId="7D79D78A" w14:textId="77777777" w:rsidR="00752B93" w:rsidRDefault="005B6389">
    <w:pPr>
      <w:pStyle w:val="Zkladntext"/>
      <w:spacing w:line="4" w:lineRule="auto"/>
      <w:rPr>
        <w:sz w:val="20"/>
      </w:rPr>
    </w:pP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7" behindDoc="1" locked="0" layoutInCell="1" allowOverlap="1" wp14:anchorId="1DA7C491" wp14:editId="482CACF1">
              <wp:simplePos x="0" y="0"/>
              <wp:positionH relativeFrom="page">
                <wp:posOffset>695960</wp:posOffset>
              </wp:positionH>
              <wp:positionV relativeFrom="page">
                <wp:posOffset>718820</wp:posOffset>
              </wp:positionV>
              <wp:extent cx="193675" cy="281305"/>
              <wp:effectExtent l="635" t="4445" r="8255" b="2540"/>
              <wp:wrapNone/>
              <wp:docPr id="5" name="Auto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960" cy="280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1" h="439">
                            <a:moveTo>
                              <a:pt x="90" y="301"/>
                            </a:moveTo>
                            <a:lnTo>
                              <a:pt x="0" y="301"/>
                            </a:lnTo>
                            <a:lnTo>
                              <a:pt x="11" y="357"/>
                            </a:lnTo>
                            <a:lnTo>
                              <a:pt x="43" y="400"/>
                            </a:lnTo>
                            <a:lnTo>
                              <a:pt x="91" y="428"/>
                            </a:lnTo>
                            <a:lnTo>
                              <a:pt x="151" y="438"/>
                            </a:lnTo>
                            <a:lnTo>
                              <a:pt x="213" y="428"/>
                            </a:lnTo>
                            <a:lnTo>
                              <a:pt x="260" y="399"/>
                            </a:lnTo>
                            <a:lnTo>
                              <a:pt x="290" y="354"/>
                            </a:lnTo>
                            <a:lnTo>
                              <a:pt x="290" y="352"/>
                            </a:lnTo>
                            <a:lnTo>
                              <a:pt x="153" y="352"/>
                            </a:lnTo>
                            <a:lnTo>
                              <a:pt x="128" y="349"/>
                            </a:lnTo>
                            <a:lnTo>
                              <a:pt x="108" y="338"/>
                            </a:lnTo>
                            <a:lnTo>
                              <a:pt x="95" y="322"/>
                            </a:lnTo>
                            <a:lnTo>
                              <a:pt x="90" y="301"/>
                            </a:lnTo>
                            <a:close/>
                            <a:moveTo>
                              <a:pt x="148" y="0"/>
                            </a:moveTo>
                            <a:lnTo>
                              <a:pt x="89" y="10"/>
                            </a:lnTo>
                            <a:lnTo>
                              <a:pt x="43" y="38"/>
                            </a:lnTo>
                            <a:lnTo>
                              <a:pt x="14" y="81"/>
                            </a:lnTo>
                            <a:lnTo>
                              <a:pt x="3" y="136"/>
                            </a:lnTo>
                            <a:lnTo>
                              <a:pt x="9" y="175"/>
                            </a:lnTo>
                            <a:lnTo>
                              <a:pt x="25" y="208"/>
                            </a:lnTo>
                            <a:lnTo>
                              <a:pt x="51" y="234"/>
                            </a:lnTo>
                            <a:lnTo>
                              <a:pt x="87" y="250"/>
                            </a:lnTo>
                            <a:lnTo>
                              <a:pt x="114" y="256"/>
                            </a:lnTo>
                            <a:lnTo>
                              <a:pt x="167" y="262"/>
                            </a:lnTo>
                            <a:lnTo>
                              <a:pt x="188" y="267"/>
                            </a:lnTo>
                            <a:lnTo>
                              <a:pt x="196" y="272"/>
                            </a:lnTo>
                            <a:lnTo>
                              <a:pt x="204" y="280"/>
                            </a:lnTo>
                            <a:lnTo>
                              <a:pt x="209" y="290"/>
                            </a:lnTo>
                            <a:lnTo>
                              <a:pt x="211" y="303"/>
                            </a:lnTo>
                            <a:lnTo>
                              <a:pt x="207" y="323"/>
                            </a:lnTo>
                            <a:lnTo>
                              <a:pt x="196" y="338"/>
                            </a:lnTo>
                            <a:lnTo>
                              <a:pt x="178" y="348"/>
                            </a:lnTo>
                            <a:lnTo>
                              <a:pt x="153" y="352"/>
                            </a:lnTo>
                            <a:lnTo>
                              <a:pt x="290" y="352"/>
                            </a:lnTo>
                            <a:lnTo>
                              <a:pt x="300" y="298"/>
                            </a:lnTo>
                            <a:lnTo>
                              <a:pt x="295" y="258"/>
                            </a:lnTo>
                            <a:lnTo>
                              <a:pt x="278" y="224"/>
                            </a:lnTo>
                            <a:lnTo>
                              <a:pt x="251" y="198"/>
                            </a:lnTo>
                            <a:lnTo>
                              <a:pt x="215" y="181"/>
                            </a:lnTo>
                            <a:lnTo>
                              <a:pt x="187" y="175"/>
                            </a:lnTo>
                            <a:lnTo>
                              <a:pt x="136" y="169"/>
                            </a:lnTo>
                            <a:lnTo>
                              <a:pt x="115" y="164"/>
                            </a:lnTo>
                            <a:lnTo>
                              <a:pt x="106" y="159"/>
                            </a:lnTo>
                            <a:lnTo>
                              <a:pt x="99" y="152"/>
                            </a:lnTo>
                            <a:lnTo>
                              <a:pt x="94" y="142"/>
                            </a:lnTo>
                            <a:lnTo>
                              <a:pt x="93" y="131"/>
                            </a:lnTo>
                            <a:lnTo>
                              <a:pt x="96" y="113"/>
                            </a:lnTo>
                            <a:lnTo>
                              <a:pt x="107" y="99"/>
                            </a:lnTo>
                            <a:lnTo>
                              <a:pt x="124" y="90"/>
                            </a:lnTo>
                            <a:lnTo>
                              <a:pt x="147" y="86"/>
                            </a:lnTo>
                            <a:lnTo>
                              <a:pt x="285" y="86"/>
                            </a:lnTo>
                            <a:lnTo>
                              <a:pt x="283" y="78"/>
                            </a:lnTo>
                            <a:lnTo>
                              <a:pt x="253" y="37"/>
                            </a:lnTo>
                            <a:lnTo>
                              <a:pt x="207" y="10"/>
                            </a:lnTo>
                            <a:lnTo>
                              <a:pt x="148" y="0"/>
                            </a:lnTo>
                            <a:close/>
                            <a:moveTo>
                              <a:pt x="285" y="86"/>
                            </a:moveTo>
                            <a:lnTo>
                              <a:pt x="147" y="86"/>
                            </a:lnTo>
                            <a:lnTo>
                              <a:pt x="170" y="89"/>
                            </a:lnTo>
                            <a:lnTo>
                              <a:pt x="188" y="99"/>
                            </a:lnTo>
                            <a:lnTo>
                              <a:pt x="200" y="113"/>
                            </a:lnTo>
                            <a:lnTo>
                              <a:pt x="204" y="132"/>
                            </a:lnTo>
                            <a:lnTo>
                              <a:pt x="294" y="132"/>
                            </a:lnTo>
                            <a:lnTo>
                              <a:pt x="285" y="86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9" behindDoc="1" locked="0" layoutInCell="1" allowOverlap="1" wp14:anchorId="74F37137" wp14:editId="3A4B38C0">
              <wp:simplePos x="0" y="0"/>
              <wp:positionH relativeFrom="page">
                <wp:posOffset>916940</wp:posOffset>
              </wp:positionH>
              <wp:positionV relativeFrom="page">
                <wp:posOffset>718820</wp:posOffset>
              </wp:positionV>
              <wp:extent cx="192405" cy="281305"/>
              <wp:effectExtent l="2540" t="4445" r="7620" b="2540"/>
              <wp:wrapNone/>
              <wp:docPr id="6" name="Auto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880" cy="280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9" h="439">
                            <a:moveTo>
                              <a:pt x="150" y="0"/>
                            </a:moveTo>
                            <a:lnTo>
                              <a:pt x="94" y="10"/>
                            </a:lnTo>
                            <a:lnTo>
                              <a:pt x="49" y="37"/>
                            </a:lnTo>
                            <a:lnTo>
                              <a:pt x="18" y="78"/>
                            </a:lnTo>
                            <a:lnTo>
                              <a:pt x="2" y="129"/>
                            </a:lnTo>
                            <a:lnTo>
                              <a:pt x="1" y="141"/>
                            </a:lnTo>
                            <a:lnTo>
                              <a:pt x="0" y="156"/>
                            </a:lnTo>
                            <a:lnTo>
                              <a:pt x="0" y="181"/>
                            </a:lnTo>
                            <a:lnTo>
                              <a:pt x="0" y="258"/>
                            </a:lnTo>
                            <a:lnTo>
                              <a:pt x="0" y="282"/>
                            </a:lnTo>
                            <a:lnTo>
                              <a:pt x="1" y="298"/>
                            </a:lnTo>
                            <a:lnTo>
                              <a:pt x="2" y="309"/>
                            </a:lnTo>
                            <a:lnTo>
                              <a:pt x="18" y="360"/>
                            </a:lnTo>
                            <a:lnTo>
                              <a:pt x="49" y="401"/>
                            </a:lnTo>
                            <a:lnTo>
                              <a:pt x="94" y="428"/>
                            </a:lnTo>
                            <a:lnTo>
                              <a:pt x="150" y="438"/>
                            </a:lnTo>
                            <a:lnTo>
                              <a:pt x="205" y="428"/>
                            </a:lnTo>
                            <a:lnTo>
                              <a:pt x="250" y="401"/>
                            </a:lnTo>
                            <a:lnTo>
                              <a:pt x="282" y="360"/>
                            </a:lnTo>
                            <a:lnTo>
                              <a:pt x="285" y="349"/>
                            </a:lnTo>
                            <a:lnTo>
                              <a:pt x="150" y="349"/>
                            </a:lnTo>
                            <a:lnTo>
                              <a:pt x="128" y="345"/>
                            </a:lnTo>
                            <a:lnTo>
                              <a:pt x="110" y="335"/>
                            </a:lnTo>
                            <a:lnTo>
                              <a:pt x="98" y="319"/>
                            </a:lnTo>
                            <a:lnTo>
                              <a:pt x="92" y="299"/>
                            </a:lnTo>
                            <a:lnTo>
                              <a:pt x="91" y="291"/>
                            </a:lnTo>
                            <a:lnTo>
                              <a:pt x="91" y="277"/>
                            </a:lnTo>
                            <a:lnTo>
                              <a:pt x="91" y="258"/>
                            </a:lnTo>
                            <a:lnTo>
                              <a:pt x="91" y="162"/>
                            </a:lnTo>
                            <a:lnTo>
                              <a:pt x="91" y="148"/>
                            </a:lnTo>
                            <a:lnTo>
                              <a:pt x="92" y="139"/>
                            </a:lnTo>
                            <a:lnTo>
                              <a:pt x="98" y="119"/>
                            </a:lnTo>
                            <a:lnTo>
                              <a:pt x="110" y="103"/>
                            </a:lnTo>
                            <a:lnTo>
                              <a:pt x="128" y="93"/>
                            </a:lnTo>
                            <a:lnTo>
                              <a:pt x="150" y="89"/>
                            </a:lnTo>
                            <a:lnTo>
                              <a:pt x="285" y="89"/>
                            </a:lnTo>
                            <a:lnTo>
                              <a:pt x="282" y="78"/>
                            </a:lnTo>
                            <a:lnTo>
                              <a:pt x="250" y="37"/>
                            </a:lnTo>
                            <a:lnTo>
                              <a:pt x="205" y="10"/>
                            </a:lnTo>
                            <a:lnTo>
                              <a:pt x="150" y="0"/>
                            </a:lnTo>
                            <a:close/>
                            <a:moveTo>
                              <a:pt x="285" y="89"/>
                            </a:moveTo>
                            <a:lnTo>
                              <a:pt x="150" y="89"/>
                            </a:lnTo>
                            <a:lnTo>
                              <a:pt x="171" y="93"/>
                            </a:lnTo>
                            <a:lnTo>
                              <a:pt x="189" y="103"/>
                            </a:lnTo>
                            <a:lnTo>
                              <a:pt x="201" y="119"/>
                            </a:lnTo>
                            <a:lnTo>
                              <a:pt x="207" y="139"/>
                            </a:lnTo>
                            <a:lnTo>
                              <a:pt x="208" y="148"/>
                            </a:lnTo>
                            <a:lnTo>
                              <a:pt x="208" y="162"/>
                            </a:lnTo>
                            <a:lnTo>
                              <a:pt x="208" y="258"/>
                            </a:lnTo>
                            <a:lnTo>
                              <a:pt x="208" y="277"/>
                            </a:lnTo>
                            <a:lnTo>
                              <a:pt x="208" y="291"/>
                            </a:lnTo>
                            <a:lnTo>
                              <a:pt x="207" y="299"/>
                            </a:lnTo>
                            <a:lnTo>
                              <a:pt x="201" y="319"/>
                            </a:lnTo>
                            <a:lnTo>
                              <a:pt x="189" y="335"/>
                            </a:lnTo>
                            <a:lnTo>
                              <a:pt x="171" y="345"/>
                            </a:lnTo>
                            <a:lnTo>
                              <a:pt x="150" y="349"/>
                            </a:lnTo>
                            <a:lnTo>
                              <a:pt x="285" y="349"/>
                            </a:lnTo>
                            <a:lnTo>
                              <a:pt x="297" y="309"/>
                            </a:lnTo>
                            <a:lnTo>
                              <a:pt x="298" y="298"/>
                            </a:lnTo>
                            <a:lnTo>
                              <a:pt x="299" y="282"/>
                            </a:lnTo>
                            <a:lnTo>
                              <a:pt x="299" y="258"/>
                            </a:lnTo>
                            <a:lnTo>
                              <a:pt x="299" y="181"/>
                            </a:lnTo>
                            <a:lnTo>
                              <a:pt x="299" y="156"/>
                            </a:lnTo>
                            <a:lnTo>
                              <a:pt x="298" y="141"/>
                            </a:lnTo>
                            <a:lnTo>
                              <a:pt x="297" y="129"/>
                            </a:lnTo>
                            <a:lnTo>
                              <a:pt x="285" y="89"/>
                            </a:lnTo>
                            <a:close/>
                          </a:path>
                        </a:pathLst>
                      </a:custGeom>
                      <a:solidFill>
                        <a:srgbClr val="EF412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11" behindDoc="1" locked="0" layoutInCell="1" allowOverlap="1" wp14:anchorId="72CCFBA2" wp14:editId="3CDE668B">
              <wp:simplePos x="0" y="0"/>
              <wp:positionH relativeFrom="page">
                <wp:posOffset>1141095</wp:posOffset>
              </wp:positionH>
              <wp:positionV relativeFrom="page">
                <wp:posOffset>722630</wp:posOffset>
              </wp:positionV>
              <wp:extent cx="189865" cy="273050"/>
              <wp:effectExtent l="7620" t="8255" r="5080" b="6985"/>
              <wp:wrapNone/>
              <wp:docPr id="7" name="Auto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360" cy="2725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5" h="426">
                            <a:moveTo>
                              <a:pt x="82" y="0"/>
                            </a:moveTo>
                            <a:lnTo>
                              <a:pt x="0" y="0"/>
                            </a:lnTo>
                            <a:lnTo>
                              <a:pt x="0" y="426"/>
                            </a:lnTo>
                            <a:lnTo>
                              <a:pt x="82" y="426"/>
                            </a:lnTo>
                            <a:lnTo>
                              <a:pt x="152" y="415"/>
                            </a:lnTo>
                            <a:lnTo>
                              <a:pt x="210" y="386"/>
                            </a:lnTo>
                            <a:lnTo>
                              <a:pt x="255" y="340"/>
                            </a:lnTo>
                            <a:lnTo>
                              <a:pt x="257" y="337"/>
                            </a:lnTo>
                            <a:lnTo>
                              <a:pt x="90" y="337"/>
                            </a:lnTo>
                            <a:lnTo>
                              <a:pt x="90" y="89"/>
                            </a:lnTo>
                            <a:lnTo>
                              <a:pt x="257" y="89"/>
                            </a:lnTo>
                            <a:lnTo>
                              <a:pt x="255" y="86"/>
                            </a:lnTo>
                            <a:lnTo>
                              <a:pt x="210" y="41"/>
                            </a:lnTo>
                            <a:lnTo>
                              <a:pt x="152" y="11"/>
                            </a:lnTo>
                            <a:lnTo>
                              <a:pt x="82" y="0"/>
                            </a:lnTo>
                            <a:close/>
                            <a:moveTo>
                              <a:pt x="257" y="89"/>
                            </a:moveTo>
                            <a:lnTo>
                              <a:pt x="90" y="89"/>
                            </a:lnTo>
                            <a:lnTo>
                              <a:pt x="136" y="101"/>
                            </a:lnTo>
                            <a:lnTo>
                              <a:pt x="172" y="127"/>
                            </a:lnTo>
                            <a:lnTo>
                              <a:pt x="196" y="166"/>
                            </a:lnTo>
                            <a:lnTo>
                              <a:pt x="204" y="213"/>
                            </a:lnTo>
                            <a:lnTo>
                              <a:pt x="196" y="260"/>
                            </a:lnTo>
                            <a:lnTo>
                              <a:pt x="172" y="299"/>
                            </a:lnTo>
                            <a:lnTo>
                              <a:pt x="136" y="325"/>
                            </a:lnTo>
                            <a:lnTo>
                              <a:pt x="90" y="337"/>
                            </a:lnTo>
                            <a:lnTo>
                              <a:pt x="257" y="337"/>
                            </a:lnTo>
                            <a:lnTo>
                              <a:pt x="284" y="282"/>
                            </a:lnTo>
                            <a:lnTo>
                              <a:pt x="295" y="213"/>
                            </a:lnTo>
                            <a:lnTo>
                              <a:pt x="284" y="145"/>
                            </a:lnTo>
                            <a:lnTo>
                              <a:pt x="257" y="89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4300" distR="112395" simplePos="0" relativeHeight="13" behindDoc="1" locked="0" layoutInCell="1" allowOverlap="1" wp14:anchorId="3B10C387" wp14:editId="0D29F481">
              <wp:simplePos x="0" y="0"/>
              <wp:positionH relativeFrom="page">
                <wp:posOffset>1361440</wp:posOffset>
              </wp:positionH>
              <wp:positionV relativeFrom="page">
                <wp:posOffset>722630</wp:posOffset>
              </wp:positionV>
              <wp:extent cx="186690" cy="273050"/>
              <wp:effectExtent l="8890" t="8255" r="6985" b="6985"/>
              <wp:wrapNone/>
              <wp:docPr id="8" name="Auto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6120" cy="2725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0" h="426">
                            <a:moveTo>
                              <a:pt x="155" y="0"/>
                            </a:moveTo>
                            <a:lnTo>
                              <a:pt x="0" y="0"/>
                            </a:lnTo>
                            <a:lnTo>
                              <a:pt x="0" y="426"/>
                            </a:lnTo>
                            <a:lnTo>
                              <a:pt x="154" y="426"/>
                            </a:lnTo>
                            <a:lnTo>
                              <a:pt x="208" y="416"/>
                            </a:lnTo>
                            <a:lnTo>
                              <a:pt x="251" y="390"/>
                            </a:lnTo>
                            <a:lnTo>
                              <a:pt x="279" y="350"/>
                            </a:lnTo>
                            <a:lnTo>
                              <a:pt x="281" y="339"/>
                            </a:lnTo>
                            <a:lnTo>
                              <a:pt x="90" y="339"/>
                            </a:lnTo>
                            <a:lnTo>
                              <a:pt x="90" y="255"/>
                            </a:lnTo>
                            <a:lnTo>
                              <a:pt x="281" y="255"/>
                            </a:lnTo>
                            <a:lnTo>
                              <a:pt x="279" y="249"/>
                            </a:lnTo>
                            <a:lnTo>
                              <a:pt x="266" y="228"/>
                            </a:lnTo>
                            <a:lnTo>
                              <a:pt x="249" y="210"/>
                            </a:lnTo>
                            <a:lnTo>
                              <a:pt x="265" y="193"/>
                            </a:lnTo>
                            <a:lnTo>
                              <a:pt x="277" y="172"/>
                            </a:lnTo>
                            <a:lnTo>
                              <a:pt x="277" y="170"/>
                            </a:lnTo>
                            <a:lnTo>
                              <a:pt x="90" y="170"/>
                            </a:lnTo>
                            <a:lnTo>
                              <a:pt x="90" y="87"/>
                            </a:lnTo>
                            <a:lnTo>
                              <a:pt x="279" y="87"/>
                            </a:lnTo>
                            <a:lnTo>
                              <a:pt x="277" y="74"/>
                            </a:lnTo>
                            <a:lnTo>
                              <a:pt x="250" y="35"/>
                            </a:lnTo>
                            <a:lnTo>
                              <a:pt x="208" y="10"/>
                            </a:lnTo>
                            <a:lnTo>
                              <a:pt x="155" y="0"/>
                            </a:lnTo>
                            <a:close/>
                            <a:moveTo>
                              <a:pt x="281" y="255"/>
                            </a:moveTo>
                            <a:lnTo>
                              <a:pt x="158" y="255"/>
                            </a:lnTo>
                            <a:lnTo>
                              <a:pt x="175" y="258"/>
                            </a:lnTo>
                            <a:lnTo>
                              <a:pt x="188" y="267"/>
                            </a:lnTo>
                            <a:lnTo>
                              <a:pt x="197" y="280"/>
                            </a:lnTo>
                            <a:lnTo>
                              <a:pt x="200" y="297"/>
                            </a:lnTo>
                            <a:lnTo>
                              <a:pt x="197" y="314"/>
                            </a:lnTo>
                            <a:lnTo>
                              <a:pt x="188" y="327"/>
                            </a:lnTo>
                            <a:lnTo>
                              <a:pt x="175" y="336"/>
                            </a:lnTo>
                            <a:lnTo>
                              <a:pt x="158" y="339"/>
                            </a:lnTo>
                            <a:lnTo>
                              <a:pt x="281" y="339"/>
                            </a:lnTo>
                            <a:lnTo>
                              <a:pt x="289" y="299"/>
                            </a:lnTo>
                            <a:lnTo>
                              <a:pt x="287" y="273"/>
                            </a:lnTo>
                            <a:lnTo>
                              <a:pt x="281" y="255"/>
                            </a:lnTo>
                            <a:close/>
                            <a:moveTo>
                              <a:pt x="279" y="87"/>
                            </a:moveTo>
                            <a:lnTo>
                              <a:pt x="155" y="87"/>
                            </a:lnTo>
                            <a:lnTo>
                              <a:pt x="172" y="90"/>
                            </a:lnTo>
                            <a:lnTo>
                              <a:pt x="185" y="99"/>
                            </a:lnTo>
                            <a:lnTo>
                              <a:pt x="194" y="112"/>
                            </a:lnTo>
                            <a:lnTo>
                              <a:pt x="197" y="129"/>
                            </a:lnTo>
                            <a:lnTo>
                              <a:pt x="194" y="145"/>
                            </a:lnTo>
                            <a:lnTo>
                              <a:pt x="185" y="158"/>
                            </a:lnTo>
                            <a:lnTo>
                              <a:pt x="172" y="167"/>
                            </a:lnTo>
                            <a:lnTo>
                              <a:pt x="155" y="170"/>
                            </a:lnTo>
                            <a:lnTo>
                              <a:pt x="277" y="170"/>
                            </a:lnTo>
                            <a:lnTo>
                              <a:pt x="284" y="149"/>
                            </a:lnTo>
                            <a:lnTo>
                              <a:pt x="286" y="124"/>
                            </a:lnTo>
                            <a:lnTo>
                              <a:pt x="279" y="87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noProof/>
        <w:sz w:val="20"/>
        <w:lang w:eastAsia="sk-SK"/>
      </w:rPr>
      <mc:AlternateContent>
        <mc:Choice Requires="wpg">
          <w:drawing>
            <wp:anchor distT="0" distB="0" distL="114300" distR="114300" simplePos="0" relativeHeight="15" behindDoc="1" locked="0" layoutInCell="1" allowOverlap="1" wp14:anchorId="1D959FE7" wp14:editId="10242CC0">
              <wp:simplePos x="0" y="0"/>
              <wp:positionH relativeFrom="page">
                <wp:posOffset>5163185</wp:posOffset>
              </wp:positionH>
              <wp:positionV relativeFrom="page">
                <wp:posOffset>728980</wp:posOffset>
              </wp:positionV>
              <wp:extent cx="351155" cy="438150"/>
              <wp:effectExtent l="635" t="5080" r="3175" b="6985"/>
              <wp:wrapNone/>
              <wp:docPr id="9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0640" cy="437400"/>
                        <a:chOff x="0" y="0"/>
                        <a:chExt cx="0" cy="0"/>
                      </a:xfrm>
                    </wpg:grpSpPr>
                    <wps:wsp>
                      <wps:cNvPr id="10" name="Voľný tvar: obrazec 10"/>
                      <wps:cNvSpPr/>
                      <wps:spPr>
                        <a:xfrm>
                          <a:off x="0" y="0"/>
                          <a:ext cx="350640" cy="437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" h="686">
                              <a:moveTo>
                                <a:pt x="538" y="0"/>
                              </a:moveTo>
                              <a:lnTo>
                                <a:pt x="10" y="0"/>
                              </a:lnTo>
                              <a:lnTo>
                                <a:pt x="9" y="19"/>
                              </a:lnTo>
                              <a:lnTo>
                                <a:pt x="5" y="76"/>
                              </a:lnTo>
                              <a:lnTo>
                                <a:pt x="2" y="172"/>
                              </a:lnTo>
                              <a:lnTo>
                                <a:pt x="0" y="311"/>
                              </a:lnTo>
                              <a:lnTo>
                                <a:pt x="9" y="396"/>
                              </a:lnTo>
                              <a:lnTo>
                                <a:pt x="35" y="469"/>
                              </a:lnTo>
                              <a:lnTo>
                                <a:pt x="73" y="531"/>
                              </a:lnTo>
                              <a:lnTo>
                                <a:pt x="119" y="583"/>
                              </a:lnTo>
                              <a:lnTo>
                                <a:pt x="171" y="625"/>
                              </a:lnTo>
                              <a:lnTo>
                                <a:pt x="224" y="659"/>
                              </a:lnTo>
                              <a:lnTo>
                                <a:pt x="274" y="686"/>
                              </a:lnTo>
                              <a:lnTo>
                                <a:pt x="325" y="659"/>
                              </a:lnTo>
                              <a:lnTo>
                                <a:pt x="378" y="625"/>
                              </a:lnTo>
                              <a:lnTo>
                                <a:pt x="430" y="583"/>
                              </a:lnTo>
                              <a:lnTo>
                                <a:pt x="476" y="531"/>
                              </a:lnTo>
                              <a:lnTo>
                                <a:pt x="514" y="469"/>
                              </a:lnTo>
                              <a:lnTo>
                                <a:pt x="539" y="396"/>
                              </a:lnTo>
                              <a:lnTo>
                                <a:pt x="548" y="311"/>
                              </a:lnTo>
                              <a:lnTo>
                                <a:pt x="548" y="186"/>
                              </a:lnTo>
                              <a:lnTo>
                                <a:pt x="547" y="112"/>
                              </a:lnTo>
                              <a:lnTo>
                                <a:pt x="544" y="60"/>
                              </a:lnTo>
                              <a:lnTo>
                                <a:pt x="5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" name="Picture 17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68040" y="15840"/>
                          <a:ext cx="214560" cy="2527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12" name="Voľný tvar: obrazec 12"/>
                      <wps:cNvSpPr/>
                      <wps:spPr>
                        <a:xfrm>
                          <a:off x="33120" y="262080"/>
                          <a:ext cx="281880" cy="175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" h="277">
                              <a:moveTo>
                                <a:pt x="72" y="41"/>
                              </a:moveTo>
                              <a:lnTo>
                                <a:pt x="38" y="43"/>
                              </a:lnTo>
                              <a:lnTo>
                                <a:pt x="17" y="53"/>
                              </a:lnTo>
                              <a:lnTo>
                                <a:pt x="2" y="82"/>
                              </a:lnTo>
                              <a:lnTo>
                                <a:pt x="0" y="87"/>
                              </a:lnTo>
                              <a:lnTo>
                                <a:pt x="21" y="121"/>
                              </a:lnTo>
                              <a:lnTo>
                                <a:pt x="67" y="173"/>
                              </a:lnTo>
                              <a:lnTo>
                                <a:pt x="119" y="215"/>
                              </a:lnTo>
                              <a:lnTo>
                                <a:pt x="172" y="249"/>
                              </a:lnTo>
                              <a:lnTo>
                                <a:pt x="222" y="276"/>
                              </a:lnTo>
                              <a:lnTo>
                                <a:pt x="273" y="249"/>
                              </a:lnTo>
                              <a:lnTo>
                                <a:pt x="326" y="215"/>
                              </a:lnTo>
                              <a:lnTo>
                                <a:pt x="378" y="173"/>
                              </a:lnTo>
                              <a:lnTo>
                                <a:pt x="424" y="121"/>
                              </a:lnTo>
                              <a:lnTo>
                                <a:pt x="441" y="94"/>
                              </a:lnTo>
                              <a:lnTo>
                                <a:pt x="439" y="90"/>
                              </a:lnTo>
                              <a:lnTo>
                                <a:pt x="430" y="79"/>
                              </a:lnTo>
                              <a:lnTo>
                                <a:pt x="135" y="79"/>
                              </a:lnTo>
                              <a:lnTo>
                                <a:pt x="132" y="73"/>
                              </a:lnTo>
                              <a:lnTo>
                                <a:pt x="121" y="60"/>
                              </a:lnTo>
                              <a:lnTo>
                                <a:pt x="101" y="47"/>
                              </a:lnTo>
                              <a:lnTo>
                                <a:pt x="72" y="41"/>
                              </a:lnTo>
                              <a:close/>
                              <a:moveTo>
                                <a:pt x="222" y="0"/>
                              </a:moveTo>
                              <a:lnTo>
                                <a:pt x="189" y="1"/>
                              </a:lnTo>
                              <a:lnTo>
                                <a:pt x="169" y="10"/>
                              </a:lnTo>
                              <a:lnTo>
                                <a:pt x="154" y="33"/>
                              </a:lnTo>
                              <a:lnTo>
                                <a:pt x="135" y="79"/>
                              </a:lnTo>
                              <a:lnTo>
                                <a:pt x="309" y="79"/>
                              </a:lnTo>
                              <a:lnTo>
                                <a:pt x="304" y="66"/>
                              </a:lnTo>
                              <a:lnTo>
                                <a:pt x="287" y="39"/>
                              </a:lnTo>
                              <a:lnTo>
                                <a:pt x="260" y="12"/>
                              </a:lnTo>
                              <a:lnTo>
                                <a:pt x="222" y="0"/>
                              </a:lnTo>
                              <a:close/>
                              <a:moveTo>
                                <a:pt x="373" y="41"/>
                              </a:moveTo>
                              <a:lnTo>
                                <a:pt x="346" y="42"/>
                              </a:lnTo>
                              <a:lnTo>
                                <a:pt x="330" y="46"/>
                              </a:lnTo>
                              <a:lnTo>
                                <a:pt x="320" y="57"/>
                              </a:lnTo>
                              <a:lnTo>
                                <a:pt x="309" y="79"/>
                              </a:lnTo>
                              <a:lnTo>
                                <a:pt x="430" y="79"/>
                              </a:lnTo>
                              <a:lnTo>
                                <a:pt x="411" y="56"/>
                              </a:lnTo>
                              <a:lnTo>
                                <a:pt x="373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5A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5" style="position:absolute;margin-left:406.55pt;margin-top:57.4pt;width:27.6pt;height:34.45pt" coordorigin="8131,1148" coordsize="552,689"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17" stroked="f" style="position:absolute;left:8238;top:1173;width:337;height:397;mso-position-horizontal-relative:page;mso-position-vertical-relative:page" type="shapetype_75">
                <v:imagedata r:id="rId3" o:detectmouseclick="t"/>
                <w10:wrap type="none"/>
                <v:stroke color="#3465a4" joinstyle="round" endcap="flat"/>
              </v:shape>
            </v:group>
          </w:pict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19" behindDoc="1" locked="0" layoutInCell="1" allowOverlap="1" wp14:anchorId="56D56E55" wp14:editId="54F68FA4">
              <wp:simplePos x="0" y="0"/>
              <wp:positionH relativeFrom="page">
                <wp:posOffset>697230</wp:posOffset>
              </wp:positionH>
              <wp:positionV relativeFrom="page">
                <wp:posOffset>1025525</wp:posOffset>
              </wp:positionV>
              <wp:extent cx="192405" cy="274955"/>
              <wp:effectExtent l="1905" t="6350" r="8255" b="6985"/>
              <wp:wrapNone/>
              <wp:docPr id="13" name="Auto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880" cy="2743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9" h="429">
                            <a:moveTo>
                              <a:pt x="275" y="92"/>
                            </a:moveTo>
                            <a:lnTo>
                              <a:pt x="142" y="92"/>
                            </a:lnTo>
                            <a:lnTo>
                              <a:pt x="162" y="95"/>
                            </a:lnTo>
                            <a:lnTo>
                              <a:pt x="178" y="104"/>
                            </a:lnTo>
                            <a:lnTo>
                              <a:pt x="189" y="119"/>
                            </a:lnTo>
                            <a:lnTo>
                              <a:pt x="192" y="140"/>
                            </a:lnTo>
                            <a:lnTo>
                              <a:pt x="189" y="159"/>
                            </a:lnTo>
                            <a:lnTo>
                              <a:pt x="181" y="177"/>
                            </a:lnTo>
                            <a:lnTo>
                              <a:pt x="169" y="193"/>
                            </a:lnTo>
                            <a:lnTo>
                              <a:pt x="152" y="210"/>
                            </a:lnTo>
                            <a:lnTo>
                              <a:pt x="3" y="344"/>
                            </a:lnTo>
                            <a:lnTo>
                              <a:pt x="3" y="429"/>
                            </a:lnTo>
                            <a:lnTo>
                              <a:pt x="298" y="429"/>
                            </a:lnTo>
                            <a:lnTo>
                              <a:pt x="298" y="344"/>
                            </a:lnTo>
                            <a:lnTo>
                              <a:pt x="133" y="344"/>
                            </a:lnTo>
                            <a:lnTo>
                              <a:pt x="210" y="271"/>
                            </a:lnTo>
                            <a:lnTo>
                              <a:pt x="240" y="240"/>
                            </a:lnTo>
                            <a:lnTo>
                              <a:pt x="263" y="208"/>
                            </a:lnTo>
                            <a:lnTo>
                              <a:pt x="278" y="173"/>
                            </a:lnTo>
                            <a:lnTo>
                              <a:pt x="283" y="134"/>
                            </a:lnTo>
                            <a:lnTo>
                              <a:pt x="275" y="92"/>
                            </a:lnTo>
                            <a:close/>
                            <a:moveTo>
                              <a:pt x="143" y="0"/>
                            </a:moveTo>
                            <a:lnTo>
                              <a:pt x="84" y="10"/>
                            </a:lnTo>
                            <a:lnTo>
                              <a:pt x="39" y="38"/>
                            </a:lnTo>
                            <a:lnTo>
                              <a:pt x="10" y="80"/>
                            </a:lnTo>
                            <a:lnTo>
                              <a:pt x="0" y="133"/>
                            </a:lnTo>
                            <a:lnTo>
                              <a:pt x="91" y="133"/>
                            </a:lnTo>
                            <a:lnTo>
                              <a:pt x="96" y="116"/>
                            </a:lnTo>
                            <a:lnTo>
                              <a:pt x="106" y="103"/>
                            </a:lnTo>
                            <a:lnTo>
                              <a:pt x="122" y="95"/>
                            </a:lnTo>
                            <a:lnTo>
                              <a:pt x="142" y="92"/>
                            </a:lnTo>
                            <a:lnTo>
                              <a:pt x="275" y="92"/>
                            </a:lnTo>
                            <a:lnTo>
                              <a:pt x="273" y="80"/>
                            </a:lnTo>
                            <a:lnTo>
                              <a:pt x="245" y="38"/>
                            </a:lnTo>
                            <a:lnTo>
                              <a:pt x="201" y="10"/>
                            </a:lnTo>
                            <a:lnTo>
                              <a:pt x="143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21" behindDoc="1" locked="0" layoutInCell="1" allowOverlap="1" wp14:anchorId="11F15B7A" wp14:editId="734F0313">
              <wp:simplePos x="0" y="0"/>
              <wp:positionH relativeFrom="page">
                <wp:posOffset>1138555</wp:posOffset>
              </wp:positionH>
              <wp:positionV relativeFrom="page">
                <wp:posOffset>1025525</wp:posOffset>
              </wp:positionV>
              <wp:extent cx="192405" cy="274955"/>
              <wp:effectExtent l="5080" t="6350" r="5080" b="6985"/>
              <wp:wrapNone/>
              <wp:docPr id="14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880" cy="2743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9" h="429">
                            <a:moveTo>
                              <a:pt x="275" y="92"/>
                            </a:moveTo>
                            <a:lnTo>
                              <a:pt x="142" y="92"/>
                            </a:lnTo>
                            <a:lnTo>
                              <a:pt x="163" y="95"/>
                            </a:lnTo>
                            <a:lnTo>
                              <a:pt x="178" y="104"/>
                            </a:lnTo>
                            <a:lnTo>
                              <a:pt x="189" y="119"/>
                            </a:lnTo>
                            <a:lnTo>
                              <a:pt x="192" y="140"/>
                            </a:lnTo>
                            <a:lnTo>
                              <a:pt x="190" y="159"/>
                            </a:lnTo>
                            <a:lnTo>
                              <a:pt x="182" y="177"/>
                            </a:lnTo>
                            <a:lnTo>
                              <a:pt x="169" y="193"/>
                            </a:lnTo>
                            <a:lnTo>
                              <a:pt x="152" y="210"/>
                            </a:lnTo>
                            <a:lnTo>
                              <a:pt x="4" y="344"/>
                            </a:lnTo>
                            <a:lnTo>
                              <a:pt x="4" y="429"/>
                            </a:lnTo>
                            <a:lnTo>
                              <a:pt x="299" y="429"/>
                            </a:lnTo>
                            <a:lnTo>
                              <a:pt x="299" y="344"/>
                            </a:lnTo>
                            <a:lnTo>
                              <a:pt x="133" y="344"/>
                            </a:lnTo>
                            <a:lnTo>
                              <a:pt x="210" y="271"/>
                            </a:lnTo>
                            <a:lnTo>
                              <a:pt x="240" y="240"/>
                            </a:lnTo>
                            <a:lnTo>
                              <a:pt x="263" y="208"/>
                            </a:lnTo>
                            <a:lnTo>
                              <a:pt x="278" y="173"/>
                            </a:lnTo>
                            <a:lnTo>
                              <a:pt x="283" y="134"/>
                            </a:lnTo>
                            <a:lnTo>
                              <a:pt x="275" y="92"/>
                            </a:lnTo>
                            <a:close/>
                            <a:moveTo>
                              <a:pt x="143" y="0"/>
                            </a:moveTo>
                            <a:lnTo>
                              <a:pt x="84" y="10"/>
                            </a:lnTo>
                            <a:lnTo>
                              <a:pt x="39" y="38"/>
                            </a:lnTo>
                            <a:lnTo>
                              <a:pt x="10" y="80"/>
                            </a:lnTo>
                            <a:lnTo>
                              <a:pt x="0" y="133"/>
                            </a:lnTo>
                            <a:lnTo>
                              <a:pt x="91" y="133"/>
                            </a:lnTo>
                            <a:lnTo>
                              <a:pt x="96" y="116"/>
                            </a:lnTo>
                            <a:lnTo>
                              <a:pt x="106" y="103"/>
                            </a:lnTo>
                            <a:lnTo>
                              <a:pt x="122" y="95"/>
                            </a:lnTo>
                            <a:lnTo>
                              <a:pt x="142" y="92"/>
                            </a:lnTo>
                            <a:lnTo>
                              <a:pt x="275" y="92"/>
                            </a:lnTo>
                            <a:lnTo>
                              <a:pt x="273" y="80"/>
                            </a:lnTo>
                            <a:lnTo>
                              <a:pt x="245" y="38"/>
                            </a:lnTo>
                            <a:lnTo>
                              <a:pt x="201" y="10"/>
                            </a:lnTo>
                            <a:lnTo>
                              <a:pt x="143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noProof/>
        <w:sz w:val="20"/>
        <w:lang w:eastAsia="sk-SK"/>
      </w:rPr>
      <mc:AlternateContent>
        <mc:Choice Requires="wpg">
          <w:drawing>
            <wp:anchor distT="0" distB="0" distL="112395" distR="114300" simplePos="0" relativeHeight="23" behindDoc="1" locked="0" layoutInCell="1" allowOverlap="1" wp14:anchorId="3935F31A" wp14:editId="65BC0861">
              <wp:simplePos x="0" y="0"/>
              <wp:positionH relativeFrom="page">
                <wp:posOffset>916940</wp:posOffset>
              </wp:positionH>
              <wp:positionV relativeFrom="page">
                <wp:posOffset>1026160</wp:posOffset>
              </wp:positionV>
              <wp:extent cx="193040" cy="193040"/>
              <wp:effectExtent l="31115" t="0" r="35560" b="1905"/>
              <wp:wrapNone/>
              <wp:docPr id="1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2240" cy="192240"/>
                        <a:chOff x="0" y="0"/>
                        <a:chExt cx="0" cy="0"/>
                      </a:xfrm>
                    </wpg:grpSpPr>
                    <wps:wsp>
                      <wps:cNvPr id="16" name="Obdĺžnik 16"/>
                      <wps:cNvSpPr/>
                      <wps:spPr>
                        <a:xfrm>
                          <a:off x="67320" y="124920"/>
                          <a:ext cx="54720" cy="67320"/>
                        </a:xfrm>
                        <a:prstGeom prst="rect">
                          <a:avLst/>
                        </a:prstGeom>
                        <a:solidFill>
                          <a:srgbClr val="EF412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7" name="Rovná spojnica 17"/>
                      <wps:cNvCnPr/>
                      <wps:spPr>
                        <a:xfrm>
                          <a:off x="0" y="96480"/>
                          <a:ext cx="192240" cy="1440"/>
                        </a:xfrm>
                        <a:prstGeom prst="line">
                          <a:avLst/>
                        </a:prstGeom>
                        <a:ln w="54720">
                          <a:solidFill>
                            <a:srgbClr val="EF412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8" name="Obdĺžnik 18"/>
                      <wps:cNvSpPr/>
                      <wps:spPr>
                        <a:xfrm>
                          <a:off x="67320" y="0"/>
                          <a:ext cx="54720" cy="67320"/>
                        </a:xfrm>
                        <a:prstGeom prst="rect">
                          <a:avLst/>
                        </a:prstGeom>
                        <a:solidFill>
                          <a:srgbClr val="EF412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" style="position:absolute;margin-left:72.2pt;margin-top:80.8pt;width:15.1pt;height:15.1pt" coordorigin="1444,1616" coordsize="302,302">
              <v:rect id="shape_0" ID="Obdĺžnik 16" fillcolor="#ef412f" stroked="f" style="position:absolute;left:1550;top:1812;width:85;height:105;mso-position-horizontal-relative:page;mso-position-vertical-relative:page">
                <w10:wrap type="none"/>
                <v:fill o:detectmouseclick="t" type="solid" color2="#10bed0"/>
                <v:stroke color="#3465a4" joinstyle="round" endcap="flat"/>
              </v:rect>
              <v:line id="shape_0" from="1444,1768" to="1746,1769" ID="Rovná spojnica 17" stroked="t" style="position:absolute;mso-position-horizontal-relative:page;mso-position-vertical-relative:page">
                <v:stroke color="#ef412f" weight="54720" joinstyle="round" endcap="flat"/>
                <v:fill o:detectmouseclick="t" on="false"/>
              </v:line>
              <v:rect id="shape_0" ID="Obdĺžnik 18" fillcolor="#ef412f" stroked="f" style="position:absolute;left:1550;top:1616;width:85;height:105;mso-position-horizontal-relative:page;mso-position-vertical-relative:page">
                <w10:wrap type="none"/>
                <v:fill o:detectmouseclick="t" type="solid" color2="#10bed0"/>
                <v:stroke color="#3465a4" joinstyle="round" endcap="flat"/>
              </v:rect>
            </v:group>
          </w:pict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25" behindDoc="1" locked="0" layoutInCell="1" allowOverlap="1" wp14:anchorId="799A6C91" wp14:editId="3443F621">
              <wp:simplePos x="0" y="0"/>
              <wp:positionH relativeFrom="page">
                <wp:posOffset>1362710</wp:posOffset>
              </wp:positionH>
              <wp:positionV relativeFrom="page">
                <wp:posOffset>1026795</wp:posOffset>
              </wp:positionV>
              <wp:extent cx="184785" cy="273685"/>
              <wp:effectExtent l="635" t="7620" r="7620" b="6985"/>
              <wp:wrapNone/>
              <wp:docPr id="19" name="Auto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320" cy="2728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7" h="427">
                            <a:moveTo>
                              <a:pt x="286" y="342"/>
                            </a:moveTo>
                            <a:lnTo>
                              <a:pt x="0" y="342"/>
                            </a:lnTo>
                            <a:lnTo>
                              <a:pt x="0" y="427"/>
                            </a:lnTo>
                            <a:lnTo>
                              <a:pt x="286" y="427"/>
                            </a:lnTo>
                            <a:lnTo>
                              <a:pt x="286" y="342"/>
                            </a:lnTo>
                            <a:close/>
                            <a:moveTo>
                              <a:pt x="188" y="102"/>
                            </a:moveTo>
                            <a:lnTo>
                              <a:pt x="97" y="102"/>
                            </a:lnTo>
                            <a:lnTo>
                              <a:pt x="97" y="342"/>
                            </a:lnTo>
                            <a:lnTo>
                              <a:pt x="188" y="342"/>
                            </a:lnTo>
                            <a:lnTo>
                              <a:pt x="188" y="102"/>
                            </a:lnTo>
                            <a:close/>
                            <a:moveTo>
                              <a:pt x="188" y="0"/>
                            </a:moveTo>
                            <a:lnTo>
                              <a:pt x="105" y="0"/>
                            </a:lnTo>
                            <a:lnTo>
                              <a:pt x="0" y="68"/>
                            </a:lnTo>
                            <a:lnTo>
                              <a:pt x="0" y="165"/>
                            </a:lnTo>
                            <a:lnTo>
                              <a:pt x="97" y="102"/>
                            </a:lnTo>
                            <a:lnTo>
                              <a:pt x="188" y="102"/>
                            </a:lnTo>
                            <a:lnTo>
                              <a:pt x="188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2395" distR="114300" simplePos="0" relativeHeight="27" behindDoc="1" locked="0" layoutInCell="1" allowOverlap="1" wp14:anchorId="2E4628C8" wp14:editId="54973D7F">
              <wp:simplePos x="0" y="0"/>
              <wp:positionH relativeFrom="page">
                <wp:posOffset>916940</wp:posOffset>
              </wp:positionH>
              <wp:positionV relativeFrom="page">
                <wp:posOffset>1273175</wp:posOffset>
              </wp:positionV>
              <wp:extent cx="192405" cy="3175"/>
              <wp:effectExtent l="31115" t="33020" r="36195" b="33655"/>
              <wp:wrapNone/>
              <wp:docPr id="20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1880" cy="1440"/>
                      </a:xfrm>
                      <a:prstGeom prst="line">
                        <a:avLst/>
                      </a:prstGeom>
                      <a:ln w="54720">
                        <a:solidFill>
                          <a:srgbClr val="EF412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72.2pt,100.2pt" to="87.25pt,100.25pt" ID="Line 3" stroked="t" style="position:absolute;mso-position-horizontal-relative:page;mso-position-vertical-relative:page" wp14:anchorId="27BB046C">
              <v:stroke color="#ef412f" weight="54720" joinstyle="round" endcap="flat"/>
              <v:fill o:detectmouseclick="t" on="false"/>
            </v:line>
          </w:pict>
        </mc:Fallback>
      </mc:AlternateContent>
    </w:r>
    <w:r>
      <w:rPr>
        <w:noProof/>
        <w:sz w:val="20"/>
        <w:lang w:eastAsia="sk-SK"/>
      </w:rPr>
      <w:drawing>
        <wp:anchor distT="0" distB="0" distL="0" distR="0" simplePos="0" relativeHeight="3" behindDoc="1" locked="0" layoutInCell="1" allowOverlap="1" wp14:anchorId="491F1DDC" wp14:editId="49C949E7">
          <wp:simplePos x="0" y="0"/>
          <wp:positionH relativeFrom="page">
            <wp:posOffset>1731010</wp:posOffset>
          </wp:positionH>
          <wp:positionV relativeFrom="page">
            <wp:posOffset>677545</wp:posOffset>
          </wp:positionV>
          <wp:extent cx="1499235" cy="622935"/>
          <wp:effectExtent l="0" t="0" r="0" b="0"/>
          <wp:wrapNone/>
          <wp:docPr id="2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1.png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499235" cy="622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B1B5C"/>
    <w:multiLevelType w:val="hybridMultilevel"/>
    <w:tmpl w:val="054203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C3DB7"/>
    <w:multiLevelType w:val="hybridMultilevel"/>
    <w:tmpl w:val="67164DCE"/>
    <w:lvl w:ilvl="0" w:tplc="31E22AB6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B7E35"/>
    <w:multiLevelType w:val="hybridMultilevel"/>
    <w:tmpl w:val="CCF43A4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74885"/>
    <w:multiLevelType w:val="hybridMultilevel"/>
    <w:tmpl w:val="BC0487D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27010"/>
    <w:multiLevelType w:val="hybridMultilevel"/>
    <w:tmpl w:val="054203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5333E"/>
    <w:multiLevelType w:val="hybridMultilevel"/>
    <w:tmpl w:val="BC0487D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B75BD"/>
    <w:multiLevelType w:val="hybridMultilevel"/>
    <w:tmpl w:val="054203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D6404"/>
    <w:multiLevelType w:val="hybridMultilevel"/>
    <w:tmpl w:val="31641C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C53FD"/>
    <w:multiLevelType w:val="hybridMultilevel"/>
    <w:tmpl w:val="BAC4615C"/>
    <w:lvl w:ilvl="0" w:tplc="7BA2616A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84F62"/>
    <w:multiLevelType w:val="hybridMultilevel"/>
    <w:tmpl w:val="BC0487D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50706"/>
    <w:multiLevelType w:val="hybridMultilevel"/>
    <w:tmpl w:val="BC0487D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2079F"/>
    <w:multiLevelType w:val="hybridMultilevel"/>
    <w:tmpl w:val="054203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86819"/>
    <w:multiLevelType w:val="hybridMultilevel"/>
    <w:tmpl w:val="BC0487D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E58C6"/>
    <w:multiLevelType w:val="hybridMultilevel"/>
    <w:tmpl w:val="9322F8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C7001"/>
    <w:multiLevelType w:val="hybridMultilevel"/>
    <w:tmpl w:val="30D81B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23E4E"/>
    <w:multiLevelType w:val="hybridMultilevel"/>
    <w:tmpl w:val="BC0487D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715878"/>
    <w:multiLevelType w:val="hybridMultilevel"/>
    <w:tmpl w:val="BC0487D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058E6"/>
    <w:multiLevelType w:val="hybridMultilevel"/>
    <w:tmpl w:val="054203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31403"/>
    <w:multiLevelType w:val="hybridMultilevel"/>
    <w:tmpl w:val="054203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FE480A"/>
    <w:multiLevelType w:val="hybridMultilevel"/>
    <w:tmpl w:val="054203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486154"/>
    <w:multiLevelType w:val="hybridMultilevel"/>
    <w:tmpl w:val="BC0487D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8F1880"/>
    <w:multiLevelType w:val="hybridMultilevel"/>
    <w:tmpl w:val="054203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6B56AC"/>
    <w:multiLevelType w:val="hybridMultilevel"/>
    <w:tmpl w:val="33B04B2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215D6"/>
    <w:multiLevelType w:val="hybridMultilevel"/>
    <w:tmpl w:val="054203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EF060C"/>
    <w:multiLevelType w:val="hybridMultilevel"/>
    <w:tmpl w:val="BC0487D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2"/>
  </w:num>
  <w:num w:numId="4">
    <w:abstractNumId w:val="14"/>
  </w:num>
  <w:num w:numId="5">
    <w:abstractNumId w:val="2"/>
  </w:num>
  <w:num w:numId="6">
    <w:abstractNumId w:val="24"/>
  </w:num>
  <w:num w:numId="7">
    <w:abstractNumId w:val="20"/>
  </w:num>
  <w:num w:numId="8">
    <w:abstractNumId w:val="15"/>
  </w:num>
  <w:num w:numId="9">
    <w:abstractNumId w:val="16"/>
  </w:num>
  <w:num w:numId="10">
    <w:abstractNumId w:val="10"/>
  </w:num>
  <w:num w:numId="11">
    <w:abstractNumId w:val="5"/>
  </w:num>
  <w:num w:numId="12">
    <w:abstractNumId w:val="9"/>
  </w:num>
  <w:num w:numId="13">
    <w:abstractNumId w:val="3"/>
  </w:num>
  <w:num w:numId="14">
    <w:abstractNumId w:val="12"/>
  </w:num>
  <w:num w:numId="15">
    <w:abstractNumId w:val="1"/>
  </w:num>
  <w:num w:numId="16">
    <w:abstractNumId w:val="8"/>
  </w:num>
  <w:num w:numId="17">
    <w:abstractNumId w:val="19"/>
  </w:num>
  <w:num w:numId="18">
    <w:abstractNumId w:val="6"/>
  </w:num>
  <w:num w:numId="19">
    <w:abstractNumId w:val="23"/>
  </w:num>
  <w:num w:numId="20">
    <w:abstractNumId w:val="17"/>
  </w:num>
  <w:num w:numId="21">
    <w:abstractNumId w:val="21"/>
  </w:num>
  <w:num w:numId="22">
    <w:abstractNumId w:val="18"/>
  </w:num>
  <w:num w:numId="23">
    <w:abstractNumId w:val="0"/>
  </w:num>
  <w:num w:numId="24">
    <w:abstractNumId w:val="4"/>
  </w:num>
  <w:num w:numId="25">
    <w:abstractNumId w:val="11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da200489-69ec-48a7-afcb-4f58589019b3"/>
  </w:docVars>
  <w:rsids>
    <w:rsidRoot w:val="00752B93"/>
    <w:rsid w:val="00001572"/>
    <w:rsid w:val="00032C32"/>
    <w:rsid w:val="000368AB"/>
    <w:rsid w:val="00041404"/>
    <w:rsid w:val="00043A2A"/>
    <w:rsid w:val="00047397"/>
    <w:rsid w:val="00047A8F"/>
    <w:rsid w:val="000522EA"/>
    <w:rsid w:val="00066883"/>
    <w:rsid w:val="000828F7"/>
    <w:rsid w:val="00096949"/>
    <w:rsid w:val="000A01E6"/>
    <w:rsid w:val="000A0984"/>
    <w:rsid w:val="000A40BE"/>
    <w:rsid w:val="000B225E"/>
    <w:rsid w:val="000C29AA"/>
    <w:rsid w:val="000C7A60"/>
    <w:rsid w:val="000D11AC"/>
    <w:rsid w:val="000D6C2B"/>
    <w:rsid w:val="000E6A42"/>
    <w:rsid w:val="000E7A7C"/>
    <w:rsid w:val="000F6A80"/>
    <w:rsid w:val="0010173E"/>
    <w:rsid w:val="001067B0"/>
    <w:rsid w:val="00110528"/>
    <w:rsid w:val="00113CDF"/>
    <w:rsid w:val="00120E3A"/>
    <w:rsid w:val="00122CC5"/>
    <w:rsid w:val="001275D9"/>
    <w:rsid w:val="0016103B"/>
    <w:rsid w:val="00161AEB"/>
    <w:rsid w:val="0016207F"/>
    <w:rsid w:val="00166EA4"/>
    <w:rsid w:val="00170162"/>
    <w:rsid w:val="00176BF5"/>
    <w:rsid w:val="001811F4"/>
    <w:rsid w:val="00182779"/>
    <w:rsid w:val="00194598"/>
    <w:rsid w:val="001947A0"/>
    <w:rsid w:val="001C5057"/>
    <w:rsid w:val="001D6934"/>
    <w:rsid w:val="001E5186"/>
    <w:rsid w:val="00200996"/>
    <w:rsid w:val="00222A92"/>
    <w:rsid w:val="00232BB3"/>
    <w:rsid w:val="00235F88"/>
    <w:rsid w:val="00237119"/>
    <w:rsid w:val="002550D7"/>
    <w:rsid w:val="002615D0"/>
    <w:rsid w:val="00261DF4"/>
    <w:rsid w:val="0027119E"/>
    <w:rsid w:val="002A4C65"/>
    <w:rsid w:val="002A5602"/>
    <w:rsid w:val="002B6E00"/>
    <w:rsid w:val="002C71B4"/>
    <w:rsid w:val="002D5A2E"/>
    <w:rsid w:val="002E501A"/>
    <w:rsid w:val="00304216"/>
    <w:rsid w:val="00313B46"/>
    <w:rsid w:val="00333C19"/>
    <w:rsid w:val="003408BB"/>
    <w:rsid w:val="00340E98"/>
    <w:rsid w:val="00346AAC"/>
    <w:rsid w:val="00347791"/>
    <w:rsid w:val="00357B50"/>
    <w:rsid w:val="00360450"/>
    <w:rsid w:val="00370B52"/>
    <w:rsid w:val="00382CB2"/>
    <w:rsid w:val="00387551"/>
    <w:rsid w:val="00387977"/>
    <w:rsid w:val="003A519A"/>
    <w:rsid w:val="003B2CAD"/>
    <w:rsid w:val="003C3450"/>
    <w:rsid w:val="003D7225"/>
    <w:rsid w:val="003D7534"/>
    <w:rsid w:val="003F42FF"/>
    <w:rsid w:val="003F722D"/>
    <w:rsid w:val="00403ACA"/>
    <w:rsid w:val="004076C7"/>
    <w:rsid w:val="0041211A"/>
    <w:rsid w:val="00412B00"/>
    <w:rsid w:val="0042502A"/>
    <w:rsid w:val="004663AB"/>
    <w:rsid w:val="00467EB9"/>
    <w:rsid w:val="004716C2"/>
    <w:rsid w:val="00486C60"/>
    <w:rsid w:val="004A4E9A"/>
    <w:rsid w:val="004A5EF8"/>
    <w:rsid w:val="004B3FD3"/>
    <w:rsid w:val="004B635C"/>
    <w:rsid w:val="004D06CA"/>
    <w:rsid w:val="004E5997"/>
    <w:rsid w:val="004F1E0C"/>
    <w:rsid w:val="00507EF7"/>
    <w:rsid w:val="005115B5"/>
    <w:rsid w:val="005225A6"/>
    <w:rsid w:val="00526C32"/>
    <w:rsid w:val="0053331E"/>
    <w:rsid w:val="005426B2"/>
    <w:rsid w:val="00547211"/>
    <w:rsid w:val="00594A45"/>
    <w:rsid w:val="005A122D"/>
    <w:rsid w:val="005A74AE"/>
    <w:rsid w:val="005B1840"/>
    <w:rsid w:val="005B6389"/>
    <w:rsid w:val="005B713F"/>
    <w:rsid w:val="005C340E"/>
    <w:rsid w:val="005C5BAD"/>
    <w:rsid w:val="005D0146"/>
    <w:rsid w:val="005D070D"/>
    <w:rsid w:val="005E2BED"/>
    <w:rsid w:val="0060128D"/>
    <w:rsid w:val="0061415D"/>
    <w:rsid w:val="00621F44"/>
    <w:rsid w:val="00633B49"/>
    <w:rsid w:val="0063459B"/>
    <w:rsid w:val="00636F20"/>
    <w:rsid w:val="00655CB8"/>
    <w:rsid w:val="00661983"/>
    <w:rsid w:val="00662F1B"/>
    <w:rsid w:val="006641BA"/>
    <w:rsid w:val="006760B0"/>
    <w:rsid w:val="006A3774"/>
    <w:rsid w:val="006B36B4"/>
    <w:rsid w:val="006C23A4"/>
    <w:rsid w:val="006C5C91"/>
    <w:rsid w:val="006E5653"/>
    <w:rsid w:val="006F4008"/>
    <w:rsid w:val="007026BD"/>
    <w:rsid w:val="00703AEF"/>
    <w:rsid w:val="007142CB"/>
    <w:rsid w:val="00714801"/>
    <w:rsid w:val="00717CBB"/>
    <w:rsid w:val="00721728"/>
    <w:rsid w:val="0072349D"/>
    <w:rsid w:val="007258C7"/>
    <w:rsid w:val="007364B4"/>
    <w:rsid w:val="00740DB2"/>
    <w:rsid w:val="00745CBE"/>
    <w:rsid w:val="00747446"/>
    <w:rsid w:val="00750F9D"/>
    <w:rsid w:val="00752B93"/>
    <w:rsid w:val="00775E0B"/>
    <w:rsid w:val="00791407"/>
    <w:rsid w:val="007919B3"/>
    <w:rsid w:val="007B220E"/>
    <w:rsid w:val="007C2492"/>
    <w:rsid w:val="007C3ADE"/>
    <w:rsid w:val="007D3459"/>
    <w:rsid w:val="007E0A00"/>
    <w:rsid w:val="007E51EE"/>
    <w:rsid w:val="007E6C4B"/>
    <w:rsid w:val="008170FB"/>
    <w:rsid w:val="008438A4"/>
    <w:rsid w:val="00874A1C"/>
    <w:rsid w:val="0087768E"/>
    <w:rsid w:val="00892F78"/>
    <w:rsid w:val="008A356F"/>
    <w:rsid w:val="008A6C02"/>
    <w:rsid w:val="008C0CED"/>
    <w:rsid w:val="008D5E8C"/>
    <w:rsid w:val="008D7555"/>
    <w:rsid w:val="008E3F87"/>
    <w:rsid w:val="008E6383"/>
    <w:rsid w:val="008F0DE5"/>
    <w:rsid w:val="008F2EB6"/>
    <w:rsid w:val="008F3563"/>
    <w:rsid w:val="00904F81"/>
    <w:rsid w:val="00913F47"/>
    <w:rsid w:val="0092738F"/>
    <w:rsid w:val="009352B7"/>
    <w:rsid w:val="009537F5"/>
    <w:rsid w:val="0095543E"/>
    <w:rsid w:val="00976919"/>
    <w:rsid w:val="0098309F"/>
    <w:rsid w:val="00993432"/>
    <w:rsid w:val="009966B3"/>
    <w:rsid w:val="009A36DC"/>
    <w:rsid w:val="009B6D3B"/>
    <w:rsid w:val="009D67BF"/>
    <w:rsid w:val="009E3B7D"/>
    <w:rsid w:val="009E4462"/>
    <w:rsid w:val="009F2474"/>
    <w:rsid w:val="00A21F6B"/>
    <w:rsid w:val="00A24899"/>
    <w:rsid w:val="00A2589C"/>
    <w:rsid w:val="00A316CF"/>
    <w:rsid w:val="00A31DEE"/>
    <w:rsid w:val="00A3442C"/>
    <w:rsid w:val="00A36CBB"/>
    <w:rsid w:val="00A37B5F"/>
    <w:rsid w:val="00A37F15"/>
    <w:rsid w:val="00A4620E"/>
    <w:rsid w:val="00A56C69"/>
    <w:rsid w:val="00A651A0"/>
    <w:rsid w:val="00A92F38"/>
    <w:rsid w:val="00A931B8"/>
    <w:rsid w:val="00A940AA"/>
    <w:rsid w:val="00A96707"/>
    <w:rsid w:val="00AB0958"/>
    <w:rsid w:val="00B0461D"/>
    <w:rsid w:val="00B14906"/>
    <w:rsid w:val="00B16014"/>
    <w:rsid w:val="00B20D24"/>
    <w:rsid w:val="00B228F5"/>
    <w:rsid w:val="00B24F39"/>
    <w:rsid w:val="00B250F4"/>
    <w:rsid w:val="00B442D9"/>
    <w:rsid w:val="00B451F7"/>
    <w:rsid w:val="00B57647"/>
    <w:rsid w:val="00B67E5B"/>
    <w:rsid w:val="00B82EDB"/>
    <w:rsid w:val="00B9430D"/>
    <w:rsid w:val="00B95A26"/>
    <w:rsid w:val="00BB61CF"/>
    <w:rsid w:val="00BE2B97"/>
    <w:rsid w:val="00BF2157"/>
    <w:rsid w:val="00BF49E6"/>
    <w:rsid w:val="00C10A5E"/>
    <w:rsid w:val="00C11682"/>
    <w:rsid w:val="00C22626"/>
    <w:rsid w:val="00C22967"/>
    <w:rsid w:val="00C329FE"/>
    <w:rsid w:val="00C6026C"/>
    <w:rsid w:val="00C71F26"/>
    <w:rsid w:val="00C81313"/>
    <w:rsid w:val="00C86474"/>
    <w:rsid w:val="00C8791B"/>
    <w:rsid w:val="00C94B35"/>
    <w:rsid w:val="00CA5940"/>
    <w:rsid w:val="00CA7681"/>
    <w:rsid w:val="00CB64FF"/>
    <w:rsid w:val="00CC2E7F"/>
    <w:rsid w:val="00CD01EE"/>
    <w:rsid w:val="00CD097C"/>
    <w:rsid w:val="00CD385F"/>
    <w:rsid w:val="00CD5015"/>
    <w:rsid w:val="00CE5156"/>
    <w:rsid w:val="00CE53F6"/>
    <w:rsid w:val="00CE588C"/>
    <w:rsid w:val="00CF2E49"/>
    <w:rsid w:val="00D0712D"/>
    <w:rsid w:val="00D14470"/>
    <w:rsid w:val="00D211FD"/>
    <w:rsid w:val="00D21AD8"/>
    <w:rsid w:val="00D26A30"/>
    <w:rsid w:val="00D31EA2"/>
    <w:rsid w:val="00D344BF"/>
    <w:rsid w:val="00D565E7"/>
    <w:rsid w:val="00D6251D"/>
    <w:rsid w:val="00D650A5"/>
    <w:rsid w:val="00D71295"/>
    <w:rsid w:val="00D85B86"/>
    <w:rsid w:val="00D93AD3"/>
    <w:rsid w:val="00D94ADE"/>
    <w:rsid w:val="00D96B17"/>
    <w:rsid w:val="00DA6C43"/>
    <w:rsid w:val="00DA7558"/>
    <w:rsid w:val="00DD2185"/>
    <w:rsid w:val="00DD2803"/>
    <w:rsid w:val="00DD2AE3"/>
    <w:rsid w:val="00DD6DFF"/>
    <w:rsid w:val="00DF011D"/>
    <w:rsid w:val="00E039E7"/>
    <w:rsid w:val="00E079B7"/>
    <w:rsid w:val="00E2791D"/>
    <w:rsid w:val="00E34304"/>
    <w:rsid w:val="00E34C9F"/>
    <w:rsid w:val="00E4166D"/>
    <w:rsid w:val="00E514AA"/>
    <w:rsid w:val="00E5397C"/>
    <w:rsid w:val="00E540A9"/>
    <w:rsid w:val="00E64E52"/>
    <w:rsid w:val="00E77D5A"/>
    <w:rsid w:val="00E8701E"/>
    <w:rsid w:val="00EA082A"/>
    <w:rsid w:val="00EA4AC5"/>
    <w:rsid w:val="00EC21D4"/>
    <w:rsid w:val="00F01E20"/>
    <w:rsid w:val="00F04CFA"/>
    <w:rsid w:val="00F0620D"/>
    <w:rsid w:val="00F1709A"/>
    <w:rsid w:val="00F17B15"/>
    <w:rsid w:val="00F21F32"/>
    <w:rsid w:val="00F22D25"/>
    <w:rsid w:val="00F32CAD"/>
    <w:rsid w:val="00F51AE4"/>
    <w:rsid w:val="00F56EBF"/>
    <w:rsid w:val="00F73356"/>
    <w:rsid w:val="00F84674"/>
    <w:rsid w:val="00F8610C"/>
    <w:rsid w:val="00F9546A"/>
    <w:rsid w:val="00F95A1D"/>
    <w:rsid w:val="00FB01A8"/>
    <w:rsid w:val="00FB0F0D"/>
    <w:rsid w:val="00FE148F"/>
    <w:rsid w:val="00FF1C28"/>
    <w:rsid w:val="00FF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16205"/>
  <w15:docId w15:val="{891CCF46-AF0C-472F-A4C2-56A6A82A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Arial"/>
      <w:lang w:val="sk-SK"/>
    </w:rPr>
  </w:style>
  <w:style w:type="paragraph" w:styleId="Nadpis1">
    <w:name w:val="heading 1"/>
    <w:basedOn w:val="Normlny"/>
    <w:uiPriority w:val="1"/>
    <w:qFormat/>
    <w:pPr>
      <w:spacing w:before="91"/>
      <w:ind w:left="1044"/>
      <w:jc w:val="both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1043"/>
      <w:jc w:val="both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uiPriority w:val="1"/>
    <w:qFormat/>
    <w:pPr>
      <w:spacing w:before="152"/>
      <w:ind w:left="1043"/>
      <w:jc w:val="both"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ED7A2A"/>
    <w:rPr>
      <w:rFonts w:ascii="Arial" w:eastAsia="Arial" w:hAnsi="Arial" w:cs="Arial"/>
    </w:rPr>
  </w:style>
  <w:style w:type="character" w:customStyle="1" w:styleId="PtaChar">
    <w:name w:val="Päta Char"/>
    <w:basedOn w:val="Predvolenpsmoodseku"/>
    <w:link w:val="Pta"/>
    <w:uiPriority w:val="99"/>
    <w:qFormat/>
    <w:rsid w:val="00ED7A2A"/>
    <w:rPr>
      <w:rFonts w:ascii="Arial" w:eastAsia="Arial" w:hAnsi="Arial" w:cs="Arial"/>
    </w:rPr>
  </w:style>
  <w:style w:type="character" w:customStyle="1" w:styleId="normaltextrun">
    <w:name w:val="normaltextrun"/>
    <w:basedOn w:val="Predvolenpsmoodseku"/>
    <w:qFormat/>
    <w:rsid w:val="00ED7A2A"/>
  </w:style>
  <w:style w:type="character" w:customStyle="1" w:styleId="scxw75734456">
    <w:name w:val="scxw75734456"/>
    <w:basedOn w:val="Predvolenpsmoodseku"/>
    <w:qFormat/>
    <w:rsid w:val="00ED7A2A"/>
  </w:style>
  <w:style w:type="character" w:customStyle="1" w:styleId="Internetovodkaz">
    <w:name w:val="Internetový odkaz"/>
    <w:basedOn w:val="Predvolenpsmoodseku"/>
    <w:uiPriority w:val="99"/>
    <w:unhideWhenUsed/>
    <w:rsid w:val="000225EB"/>
    <w:rPr>
      <w:color w:val="0000FF" w:themeColor="hyperlink"/>
      <w:u w:val="single"/>
    </w:rPr>
  </w:style>
  <w:style w:type="character" w:styleId="Vrazn">
    <w:name w:val="Strong"/>
    <w:basedOn w:val="Predvolenpsmoodseku"/>
    <w:uiPriority w:val="22"/>
    <w:qFormat/>
    <w:rsid w:val="002954C3"/>
    <w:rPr>
      <w:b/>
      <w:bCs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2954C3"/>
    <w:rPr>
      <w:sz w:val="20"/>
      <w:szCs w:val="20"/>
      <w:lang w:val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17268B"/>
    <w:rPr>
      <w:rFonts w:ascii="Segoe UI" w:eastAsia="Arial" w:hAnsi="Segoe UI" w:cs="Segoe UI"/>
      <w:sz w:val="18"/>
      <w:szCs w:val="18"/>
    </w:rPr>
  </w:style>
  <w:style w:type="character" w:styleId="PouitHypertextovPrepojenie">
    <w:name w:val="FollowedHyperlink"/>
    <w:basedOn w:val="Predvolenpsmoodseku"/>
    <w:uiPriority w:val="99"/>
    <w:semiHidden/>
    <w:unhideWhenUsed/>
    <w:qFormat/>
    <w:rsid w:val="00BB6AAA"/>
    <w:rPr>
      <w:color w:val="800080" w:themeColor="followed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qFormat/>
    <w:rsid w:val="00B57C46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6C3A56"/>
    <w:rPr>
      <w:sz w:val="16"/>
      <w:szCs w:val="16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6C3A56"/>
    <w:rPr>
      <w:rFonts w:ascii="Arial" w:eastAsia="Arial" w:hAnsi="Arial" w:cs="Arial"/>
      <w:b/>
      <w:bCs/>
      <w:sz w:val="20"/>
      <w:szCs w:val="20"/>
      <w:lang w:val="sk-SK"/>
    </w:rPr>
  </w:style>
  <w:style w:type="character" w:customStyle="1" w:styleId="Zdraznenie">
    <w:name w:val="Zdôraznenie"/>
    <w:basedOn w:val="Predvolenpsmoodseku"/>
    <w:uiPriority w:val="20"/>
    <w:qFormat/>
    <w:rsid w:val="009C1376"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sz w:val="22"/>
    </w:rPr>
  </w:style>
  <w:style w:type="character" w:customStyle="1" w:styleId="ListLabel15">
    <w:name w:val="ListLabel 15"/>
    <w:qFormat/>
    <w:rPr>
      <w:rFonts w:ascii="Arial" w:hAnsi="Arial" w:cs="Arial"/>
      <w:sz w:val="22"/>
      <w:szCs w:val="22"/>
    </w:rPr>
  </w:style>
  <w:style w:type="character" w:customStyle="1" w:styleId="ListLabel16">
    <w:name w:val="ListLabel 16"/>
    <w:qFormat/>
    <w:rPr>
      <w:b/>
      <w:sz w:val="17"/>
    </w:rPr>
  </w:style>
  <w:style w:type="character" w:customStyle="1" w:styleId="ListLabel17">
    <w:name w:val="ListLabel 17"/>
    <w:qFormat/>
    <w:rPr>
      <w:b/>
      <w:sz w:val="17"/>
    </w:rPr>
  </w:style>
  <w:style w:type="character" w:customStyle="1" w:styleId="iadne">
    <w:name w:val="Žiadne"/>
    <w:qFormat/>
    <w:rsid w:val="00334407"/>
  </w:style>
  <w:style w:type="character" w:customStyle="1" w:styleId="Hyperlink0">
    <w:name w:val="Hyperlink.0"/>
    <w:basedOn w:val="iadne"/>
    <w:qFormat/>
    <w:rsid w:val="00334407"/>
    <w:rPr>
      <w:u w:val="single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qFormat/>
    <w:rsid w:val="008D0929"/>
    <w:rPr>
      <w:color w:val="605E5C"/>
      <w:shd w:val="clear" w:color="auto" w:fill="E1DFDD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rFonts w:eastAsia="Times New Roman" w:cs="Times New Roman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eastAsia="Arial" w:cs="Aria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b/>
      <w:sz w:val="17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qFormat/>
    <w:rsid w:val="000225EB"/>
    <w:rPr>
      <w:color w:val="605E5C"/>
      <w:shd w:val="clear" w:color="auto" w:fill="E1DFDD"/>
    </w:rPr>
  </w:style>
  <w:style w:type="character" w:customStyle="1" w:styleId="Nevyrieenzmienka4">
    <w:name w:val="Nevyriešená zmienka4"/>
    <w:basedOn w:val="Predvolenpsmoodseku"/>
    <w:uiPriority w:val="99"/>
    <w:semiHidden/>
    <w:unhideWhenUsed/>
    <w:qFormat/>
    <w:rsid w:val="00B268DF"/>
    <w:rPr>
      <w:color w:val="605E5C"/>
      <w:shd w:val="clear" w:color="auto" w:fill="E1DFDD"/>
    </w:rPr>
  </w:style>
  <w:style w:type="character" w:customStyle="1" w:styleId="ListLabel36">
    <w:name w:val="ListLabel 36"/>
    <w:qFormat/>
    <w:rPr>
      <w:sz w:val="24"/>
      <w:szCs w:val="24"/>
      <w:lang w:eastAsia="sk-SK"/>
      <w14:textOutline w14:w="0" w14:cap="flat" w14:cmpd="sng" w14:algn="ctr">
        <w14:noFill/>
        <w14:prstDash w14:val="solid"/>
        <w14:bevel/>
      </w14:textOutline>
    </w:rPr>
  </w:style>
  <w:style w:type="character" w:customStyle="1" w:styleId="ListLabel37">
    <w:name w:val="ListLabel 37"/>
    <w:qFormat/>
    <w:rPr>
      <w:b/>
      <w:sz w:val="17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uiPriority w:val="1"/>
    <w:qFormat/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</w:style>
  <w:style w:type="paragraph" w:styleId="Odsekzoznamu">
    <w:name w:val="List Paragraph"/>
    <w:basedOn w:val="Normlny"/>
    <w:uiPriority w:val="34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ED7A2A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unhideWhenUsed/>
    <w:rsid w:val="00ED7A2A"/>
    <w:pPr>
      <w:tabs>
        <w:tab w:val="center" w:pos="4536"/>
        <w:tab w:val="right" w:pos="9072"/>
      </w:tabs>
    </w:pPr>
  </w:style>
  <w:style w:type="paragraph" w:customStyle="1" w:styleId="paragraph">
    <w:name w:val="paragraph"/>
    <w:basedOn w:val="Normlny"/>
    <w:qFormat/>
    <w:rsid w:val="00ED7A2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2954C3"/>
    <w:rPr>
      <w:rFonts w:ascii="Arial" w:eastAsia="Calibri" w:hAnsi="Arial" w:cs="Arial"/>
      <w:color w:val="000000"/>
      <w:sz w:val="24"/>
      <w:szCs w:val="24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2954C3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17268B"/>
    <w:rPr>
      <w:rFonts w:ascii="Segoe UI" w:hAnsi="Segoe UI" w:cs="Segoe UI"/>
      <w:sz w:val="18"/>
      <w:szCs w:val="18"/>
    </w:rPr>
  </w:style>
  <w:style w:type="paragraph" w:customStyle="1" w:styleId="b-typo-p">
    <w:name w:val="b-typo-p"/>
    <w:basedOn w:val="Normlny"/>
    <w:qFormat/>
    <w:rsid w:val="00EB4791"/>
    <w:pPr>
      <w:spacing w:beforeAutospacing="1" w:afterAutospacing="1"/>
    </w:pPr>
    <w:rPr>
      <w:rFonts w:ascii="Times New Roman" w:eastAsiaTheme="minorHAnsi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qFormat/>
    <w:rsid w:val="00B57C46"/>
    <w:pPr>
      <w:spacing w:beforeAutospacing="1" w:afterAutospacing="1"/>
    </w:pPr>
    <w:rPr>
      <w:rFonts w:ascii="Calibri" w:eastAsiaTheme="minorHAnsi" w:hAnsi="Calibri" w:cs="Calibri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6C3A56"/>
    <w:pPr>
      <w:widowControl w:val="0"/>
      <w:spacing w:after="0"/>
    </w:pPr>
    <w:rPr>
      <w:rFonts w:ascii="Arial" w:eastAsia="Arial" w:hAnsi="Arial" w:cs="Arial"/>
      <w:b/>
      <w:bCs/>
      <w:lang w:val="en-US"/>
    </w:rPr>
  </w:style>
  <w:style w:type="paragraph" w:customStyle="1" w:styleId="Obsahrmca">
    <w:name w:val="Obsah rámca"/>
    <w:basedOn w:val="Normlny"/>
    <w:qFormat/>
  </w:style>
  <w:style w:type="paragraph" w:customStyle="1" w:styleId="xmsonormal">
    <w:name w:val="xmsonormal"/>
    <w:basedOn w:val="Normlny"/>
    <w:qFormat/>
    <w:rsid w:val="00CE5B93"/>
    <w:rPr>
      <w:rFonts w:ascii="Calibri" w:eastAsiaTheme="minorHAnsi" w:hAnsi="Calibri" w:cs="Calibri"/>
      <w:lang w:eastAsia="sk-SK"/>
    </w:rPr>
  </w:style>
  <w:style w:type="paragraph" w:customStyle="1" w:styleId="Telo">
    <w:name w:val="Telo"/>
    <w:qFormat/>
    <w:rsid w:val="00334407"/>
    <w:rPr>
      <w:rFonts w:ascii="Times New Roman" w:eastAsia="Arial Unicode MS" w:hAnsi="Times New Roman" w:cs="Arial Unicode MS"/>
      <w:color w:val="000000"/>
      <w:sz w:val="24"/>
      <w:szCs w:val="24"/>
      <w:u w:color="000000"/>
      <w:lang w:val="sk-SK" w:eastAsia="sk-SK"/>
      <w14:textOutline w14:w="0" w14:cap="flat" w14:cmpd="sng" w14:algn="ctr">
        <w14:noFill/>
        <w14:prstDash w14:val="solid"/>
        <w14:bevel/>
      </w14:textOutline>
    </w:rPr>
  </w:style>
  <w:style w:type="paragraph" w:customStyle="1" w:styleId="d-item">
    <w:name w:val="d-item"/>
    <w:basedOn w:val="Normlny"/>
    <w:qFormat/>
    <w:rsid w:val="001A6373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Zvraznenie">
    <w:name w:val="Emphasis"/>
    <w:basedOn w:val="Predvolenpsmoodseku"/>
    <w:uiPriority w:val="20"/>
    <w:qFormat/>
    <w:rsid w:val="00F22D25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5C340E"/>
    <w:rPr>
      <w:color w:val="0060A7"/>
      <w:u w:val="single"/>
    </w:rPr>
  </w:style>
  <w:style w:type="character" w:customStyle="1" w:styleId="Nevyrieenzmienka5">
    <w:name w:val="Nevyriešená zmienka5"/>
    <w:basedOn w:val="Predvolenpsmoodseku"/>
    <w:uiPriority w:val="99"/>
    <w:semiHidden/>
    <w:unhideWhenUsed/>
    <w:rsid w:val="0092738F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200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5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9D90D-5699-44E4-92B0-A21D9C71F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1685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dc:description/>
  <cp:lastModifiedBy>Stauder holding</cp:lastModifiedBy>
  <cp:revision>5</cp:revision>
  <cp:lastPrinted>2022-03-15T12:26:00Z</cp:lastPrinted>
  <dcterms:created xsi:type="dcterms:W3CDTF">2022-03-29T08:15:00Z</dcterms:created>
  <dcterms:modified xsi:type="dcterms:W3CDTF">2022-03-29T08:16:00Z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2019-09-26T00:00:00Z</vt:filetime>
  </property>
  <property fmtid="{D5CDD505-2E9C-101B-9397-08002B2CF9AE}" pid="4" name="Creator">
    <vt:lpwstr>Adobe Illustrator CC 23.0 (Windows)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2019-09-26T00:00:00Z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